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rPr>
      </w:pPr>
    </w:p>
    <w:p>
      <w:pPr>
        <w:jc w:val="right"/>
        <w:rPr>
          <w:rFonts w:hint="eastAsia" w:ascii="宋体" w:hAnsi="宋体"/>
          <w:sz w:val="32"/>
          <w:szCs w:val="32"/>
        </w:rPr>
      </w:pPr>
      <w:r>
        <w:rPr>
          <w:rFonts w:hint="eastAsia" w:ascii="宋体" w:hAnsi="宋体"/>
          <w:sz w:val="32"/>
          <w:szCs w:val="32"/>
        </w:rPr>
        <w:t>NO:××-201×-×××</w:t>
      </w:r>
    </w:p>
    <w:p>
      <w:pPr>
        <w:rPr>
          <w:rFonts w:hint="eastAsia" w:ascii="宋体" w:hAnsi="宋体"/>
          <w:sz w:val="32"/>
          <w:szCs w:val="32"/>
        </w:rPr>
      </w:pPr>
    </w:p>
    <w:p>
      <w:pPr>
        <w:spacing w:before="312" w:beforeLines="100" w:line="60" w:lineRule="atLeast"/>
        <w:ind w:firstLine="720" w:firstLineChars="100"/>
        <w:jc w:val="both"/>
        <w:rPr>
          <w:rFonts w:hint="eastAsia" w:eastAsia="隶书"/>
          <w:sz w:val="72"/>
          <w:szCs w:val="72"/>
        </w:rPr>
      </w:pPr>
      <w:bookmarkStart w:id="0" w:name="_GoBack"/>
      <w:r>
        <w:rPr>
          <w:rFonts w:hint="eastAsia" w:eastAsia="隶书"/>
          <w:sz w:val="72"/>
          <w:szCs w:val="72"/>
        </w:rPr>
        <w:t xml:space="preserve">柳 州 市 预 拌 商 品 </w:t>
      </w:r>
    </w:p>
    <w:p>
      <w:pPr>
        <w:spacing w:before="312" w:beforeLines="100" w:line="60" w:lineRule="atLeast"/>
        <w:jc w:val="center"/>
        <w:rPr>
          <w:rFonts w:hint="eastAsia" w:eastAsia="隶书"/>
          <w:kern w:val="20"/>
          <w:sz w:val="72"/>
          <w:szCs w:val="72"/>
        </w:rPr>
      </w:pPr>
      <w:r>
        <w:rPr>
          <w:rFonts w:hint="eastAsia" w:eastAsia="隶书"/>
          <w:sz w:val="72"/>
          <w:szCs w:val="72"/>
        </w:rPr>
        <w:t>混 凝 土 购 销 合 同</w:t>
      </w:r>
      <w:bookmarkEnd w:id="0"/>
    </w:p>
    <w:p>
      <w:pPr>
        <w:jc w:val="center"/>
        <w:rPr>
          <w:rFonts w:hint="eastAsia"/>
          <w:spacing w:val="-20"/>
          <w:kern w:val="20"/>
          <w:sz w:val="72"/>
        </w:rPr>
      </w:pPr>
    </w:p>
    <w:p>
      <w:pPr>
        <w:jc w:val="center"/>
        <w:rPr>
          <w:rFonts w:hint="eastAsia"/>
          <w:spacing w:val="-20"/>
          <w:kern w:val="20"/>
          <w:sz w:val="72"/>
        </w:rPr>
      </w:pPr>
    </w:p>
    <w:p>
      <w:pPr>
        <w:jc w:val="center"/>
        <w:rPr>
          <w:rFonts w:hint="eastAsia"/>
          <w:spacing w:val="-20"/>
          <w:kern w:val="20"/>
          <w:sz w:val="72"/>
        </w:rPr>
      </w:pPr>
    </w:p>
    <w:p>
      <w:pPr>
        <w:ind w:right="97" w:rightChars="46"/>
        <w:rPr>
          <w:rFonts w:hint="eastAsia"/>
          <w:kern w:val="20"/>
          <w:sz w:val="30"/>
          <w:szCs w:val="30"/>
        </w:rPr>
      </w:pPr>
      <w:r>
        <w:rPr>
          <w:rFonts w:hint="eastAsia"/>
          <w:spacing w:val="-20"/>
          <w:kern w:val="20"/>
          <w:sz w:val="32"/>
        </w:rPr>
        <w:t xml:space="preserve">         </w:t>
      </w:r>
      <w:r>
        <w:rPr>
          <w:rFonts w:hint="eastAsia" w:ascii="仿宋_GB2312" w:hAnsi="宋体" w:eastAsia="仿宋_GB2312"/>
          <w:spacing w:val="50"/>
          <w:kern w:val="20"/>
          <w:sz w:val="32"/>
          <w:szCs w:val="32"/>
        </w:rPr>
        <w:t>合同编号</w:t>
      </w:r>
      <w:r>
        <w:rPr>
          <w:rFonts w:hint="eastAsia"/>
          <w:kern w:val="20"/>
          <w:sz w:val="30"/>
          <w:szCs w:val="30"/>
        </w:rPr>
        <w:t>：</w:t>
      </w:r>
      <w:r>
        <w:rPr>
          <w:rFonts w:hint="eastAsia"/>
          <w:kern w:val="20"/>
          <w:sz w:val="30"/>
          <w:szCs w:val="30"/>
          <w:u w:val="single"/>
        </w:rPr>
        <w:t xml:space="preserve">                                </w:t>
      </w:r>
    </w:p>
    <w:p>
      <w:pPr>
        <w:rPr>
          <w:rFonts w:hint="eastAsia"/>
          <w:kern w:val="20"/>
          <w:sz w:val="30"/>
          <w:szCs w:val="30"/>
        </w:rPr>
      </w:pPr>
      <w:r>
        <w:rPr>
          <w:rFonts w:hint="eastAsia"/>
          <w:kern w:val="20"/>
          <w:sz w:val="30"/>
          <w:szCs w:val="30"/>
        </w:rPr>
        <w:t xml:space="preserve">       </w:t>
      </w:r>
      <w:r>
        <w:rPr>
          <w:rFonts w:hint="eastAsia" w:ascii="仿宋_GB2312" w:eastAsia="仿宋_GB2312"/>
          <w:kern w:val="20"/>
          <w:sz w:val="32"/>
          <w:szCs w:val="32"/>
        </w:rPr>
        <w:t>甲方（需方）</w:t>
      </w:r>
      <w:r>
        <w:rPr>
          <w:rFonts w:hint="eastAsia"/>
          <w:kern w:val="20"/>
          <w:sz w:val="30"/>
          <w:szCs w:val="30"/>
        </w:rPr>
        <w:t>：</w:t>
      </w:r>
      <w:r>
        <w:rPr>
          <w:rFonts w:hint="eastAsia"/>
          <w:kern w:val="20"/>
          <w:sz w:val="30"/>
          <w:szCs w:val="30"/>
          <w:u w:val="single"/>
        </w:rPr>
        <w:t xml:space="preserve">                                </w:t>
      </w:r>
    </w:p>
    <w:p>
      <w:pPr>
        <w:rPr>
          <w:rFonts w:hint="eastAsia" w:ascii="仿宋_GB2312" w:eastAsia="仿宋_GB2312"/>
          <w:kern w:val="20"/>
          <w:sz w:val="32"/>
          <w:szCs w:val="32"/>
          <w:u w:val="single"/>
        </w:rPr>
      </w:pPr>
      <w:r>
        <w:rPr>
          <w:rFonts w:hint="eastAsia"/>
          <w:kern w:val="20"/>
          <w:sz w:val="30"/>
          <w:szCs w:val="30"/>
        </w:rPr>
        <w:t xml:space="preserve">       </w:t>
      </w:r>
      <w:r>
        <w:rPr>
          <w:rFonts w:hint="eastAsia" w:ascii="仿宋_GB2312" w:eastAsia="仿宋_GB2312"/>
          <w:kern w:val="20"/>
          <w:sz w:val="32"/>
          <w:szCs w:val="32"/>
        </w:rPr>
        <w:t>乙方（供方）：</w:t>
      </w:r>
      <w:r>
        <w:rPr>
          <w:rFonts w:hint="eastAsia" w:ascii="仿宋_GB2312" w:eastAsia="仿宋_GB2312"/>
          <w:kern w:val="20"/>
          <w:sz w:val="32"/>
          <w:szCs w:val="32"/>
          <w:u w:val="single"/>
        </w:rPr>
        <w:t xml:space="preserve">                                </w:t>
      </w:r>
    </w:p>
    <w:p>
      <w:pPr>
        <w:rPr>
          <w:rFonts w:hint="eastAsia" w:ascii="仿宋_GB2312" w:eastAsia="仿宋_GB2312"/>
          <w:kern w:val="20"/>
          <w:sz w:val="32"/>
          <w:szCs w:val="32"/>
          <w:u w:val="single"/>
        </w:rPr>
      </w:pPr>
      <w:r>
        <w:rPr>
          <w:rFonts w:hint="eastAsia"/>
          <w:kern w:val="20"/>
          <w:sz w:val="30"/>
          <w:szCs w:val="30"/>
        </w:rPr>
        <w:t xml:space="preserve">       </w:t>
      </w:r>
      <w:r>
        <w:rPr>
          <w:rFonts w:hint="eastAsia" w:ascii="仿宋_GB2312" w:eastAsia="仿宋_GB2312"/>
          <w:spacing w:val="50"/>
          <w:kern w:val="20"/>
          <w:sz w:val="32"/>
          <w:szCs w:val="32"/>
        </w:rPr>
        <w:t>工程名称</w:t>
      </w:r>
      <w:r>
        <w:rPr>
          <w:rFonts w:hint="eastAsia" w:ascii="仿宋_GB2312" w:eastAsia="仿宋_GB2312"/>
          <w:kern w:val="20"/>
          <w:sz w:val="32"/>
          <w:szCs w:val="32"/>
        </w:rPr>
        <w:t>：</w:t>
      </w:r>
      <w:r>
        <w:rPr>
          <w:rFonts w:hint="eastAsia" w:ascii="仿宋_GB2312" w:eastAsia="仿宋_GB2312"/>
          <w:kern w:val="20"/>
          <w:sz w:val="32"/>
          <w:szCs w:val="32"/>
          <w:u w:val="single"/>
        </w:rPr>
        <w:t xml:space="preserve">                                </w:t>
      </w:r>
    </w:p>
    <w:p>
      <w:pPr>
        <w:rPr>
          <w:rFonts w:hint="eastAsia" w:ascii="仿宋_GB2312" w:eastAsia="仿宋_GB2312"/>
          <w:kern w:val="20"/>
          <w:sz w:val="32"/>
          <w:szCs w:val="32"/>
        </w:rPr>
      </w:pPr>
      <w:r>
        <w:rPr>
          <w:rFonts w:hint="eastAsia"/>
          <w:kern w:val="20"/>
          <w:sz w:val="30"/>
          <w:szCs w:val="30"/>
        </w:rPr>
        <w:t xml:space="preserve">       </w:t>
      </w:r>
      <w:r>
        <w:rPr>
          <w:rFonts w:hint="eastAsia" w:ascii="仿宋_GB2312" w:eastAsia="仿宋_GB2312"/>
          <w:spacing w:val="50"/>
          <w:kern w:val="20"/>
          <w:sz w:val="32"/>
          <w:szCs w:val="32"/>
        </w:rPr>
        <w:t>交货地点</w:t>
      </w:r>
      <w:r>
        <w:rPr>
          <w:rFonts w:hint="eastAsia" w:ascii="仿宋_GB2312" w:eastAsia="仿宋_GB2312"/>
          <w:kern w:val="20"/>
          <w:sz w:val="32"/>
          <w:szCs w:val="32"/>
        </w:rPr>
        <w:t>：</w:t>
      </w:r>
      <w:r>
        <w:rPr>
          <w:rFonts w:hint="eastAsia" w:ascii="仿宋_GB2312" w:eastAsia="仿宋_GB2312"/>
          <w:kern w:val="20"/>
          <w:sz w:val="32"/>
          <w:szCs w:val="32"/>
          <w:u w:val="single"/>
        </w:rPr>
        <w:t xml:space="preserve">                                </w:t>
      </w:r>
    </w:p>
    <w:p>
      <w:pPr>
        <w:rPr>
          <w:rFonts w:hint="eastAsia" w:ascii="仿宋_GB2312" w:eastAsia="仿宋_GB2312"/>
          <w:kern w:val="20"/>
          <w:sz w:val="32"/>
          <w:szCs w:val="32"/>
        </w:rPr>
      </w:pPr>
      <w:r>
        <w:rPr>
          <w:rFonts w:hint="eastAsia"/>
          <w:kern w:val="20"/>
          <w:sz w:val="30"/>
          <w:szCs w:val="30"/>
        </w:rPr>
        <w:t xml:space="preserve">       </w:t>
      </w:r>
      <w:r>
        <w:rPr>
          <w:rFonts w:hint="eastAsia" w:ascii="仿宋_GB2312" w:eastAsia="仿宋_GB2312"/>
          <w:spacing w:val="50"/>
          <w:kern w:val="20"/>
          <w:sz w:val="32"/>
          <w:szCs w:val="32"/>
        </w:rPr>
        <w:t>签订时间</w:t>
      </w:r>
      <w:r>
        <w:rPr>
          <w:rFonts w:hint="eastAsia" w:ascii="仿宋_GB2312" w:eastAsia="仿宋_GB2312"/>
          <w:kern w:val="20"/>
          <w:sz w:val="32"/>
          <w:szCs w:val="32"/>
        </w:rPr>
        <w:t>：</w:t>
      </w:r>
      <w:r>
        <w:rPr>
          <w:rFonts w:hint="eastAsia" w:ascii="仿宋_GB2312" w:eastAsia="仿宋_GB2312"/>
          <w:kern w:val="20"/>
          <w:sz w:val="32"/>
          <w:szCs w:val="32"/>
          <w:u w:val="single"/>
        </w:rPr>
        <w:t xml:space="preserve">          年    月    日        </w:t>
      </w:r>
    </w:p>
    <w:p>
      <w:pPr>
        <w:rPr>
          <w:rFonts w:hint="eastAsia" w:ascii="仿宋_GB2312" w:eastAsia="仿宋_GB2312"/>
          <w:spacing w:val="-20"/>
          <w:kern w:val="20"/>
          <w:sz w:val="32"/>
          <w:szCs w:val="32"/>
          <w:u w:val="single"/>
        </w:rPr>
      </w:pPr>
      <w:r>
        <w:rPr>
          <w:rFonts w:hint="eastAsia" w:ascii="仿宋_GB2312" w:eastAsia="仿宋_GB2312"/>
          <w:kern w:val="20"/>
          <w:sz w:val="32"/>
          <w:szCs w:val="32"/>
        </w:rPr>
        <w:t xml:space="preserve">       </w:t>
      </w:r>
      <w:r>
        <w:rPr>
          <w:rFonts w:hint="eastAsia" w:ascii="仿宋_GB2312" w:eastAsia="仿宋_GB2312"/>
          <w:spacing w:val="50"/>
          <w:kern w:val="20"/>
          <w:sz w:val="32"/>
          <w:szCs w:val="32"/>
        </w:rPr>
        <w:t>签订地点</w:t>
      </w:r>
      <w:r>
        <w:rPr>
          <w:rFonts w:hint="eastAsia" w:ascii="仿宋_GB2312" w:eastAsia="仿宋_GB2312"/>
          <w:spacing w:val="-20"/>
          <w:kern w:val="20"/>
          <w:sz w:val="32"/>
          <w:szCs w:val="32"/>
        </w:rPr>
        <w:t>：</w:t>
      </w:r>
      <w:r>
        <w:rPr>
          <w:rFonts w:hint="eastAsia" w:ascii="仿宋_GB2312" w:eastAsia="仿宋_GB2312"/>
          <w:spacing w:val="-20"/>
          <w:kern w:val="20"/>
          <w:sz w:val="32"/>
          <w:szCs w:val="32"/>
          <w:u w:val="single"/>
        </w:rPr>
        <w:t xml:space="preserve">    </w:t>
      </w:r>
      <w:r>
        <w:rPr>
          <w:rFonts w:hint="eastAsia" w:ascii="仿宋_GB2312" w:hAnsi="宋体" w:eastAsia="仿宋_GB2312"/>
          <w:kern w:val="20"/>
          <w:sz w:val="32"/>
          <w:szCs w:val="32"/>
          <w:u w:val="single"/>
        </w:rPr>
        <w:t xml:space="preserve">                </w:t>
      </w:r>
      <w:r>
        <w:rPr>
          <w:rFonts w:hint="eastAsia" w:ascii="仿宋_GB2312" w:eastAsia="仿宋_GB2312"/>
          <w:spacing w:val="-20"/>
          <w:kern w:val="20"/>
          <w:sz w:val="32"/>
          <w:szCs w:val="32"/>
          <w:u w:val="single"/>
        </w:rPr>
        <w:t xml:space="preserve">                  </w:t>
      </w:r>
    </w:p>
    <w:p>
      <w:pPr>
        <w:jc w:val="center"/>
        <w:rPr>
          <w:rFonts w:hint="eastAsia"/>
          <w:spacing w:val="-20"/>
          <w:kern w:val="20"/>
          <w:sz w:val="32"/>
        </w:rPr>
      </w:pPr>
    </w:p>
    <w:p>
      <w:pPr>
        <w:jc w:val="center"/>
        <w:rPr>
          <w:rFonts w:hint="eastAsia"/>
          <w:spacing w:val="-20"/>
          <w:kern w:val="20"/>
          <w:sz w:val="32"/>
        </w:rPr>
      </w:pPr>
    </w:p>
    <w:p>
      <w:pPr>
        <w:jc w:val="center"/>
        <w:rPr>
          <w:rFonts w:hint="eastAsia" w:ascii="仿宋_GB2312" w:eastAsia="仿宋_GB2312"/>
          <w:spacing w:val="-20"/>
          <w:kern w:val="20"/>
          <w:sz w:val="32"/>
        </w:rPr>
      </w:pPr>
      <w:r>
        <w:rPr>
          <w:rFonts w:hint="eastAsia" w:ascii="仿宋_GB2312" w:eastAsia="仿宋_GB2312"/>
          <w:spacing w:val="-20"/>
          <w:kern w:val="20"/>
          <w:sz w:val="32"/>
        </w:rPr>
        <w:t>柳州市住房和城乡建设委员会监制</w:t>
      </w:r>
    </w:p>
    <w:p>
      <w:pPr>
        <w:jc w:val="center"/>
        <w:rPr>
          <w:rFonts w:hint="eastAsia"/>
          <w:b/>
          <w:sz w:val="36"/>
          <w:szCs w:val="36"/>
        </w:rPr>
      </w:pPr>
      <w:r>
        <w:rPr>
          <w:rFonts w:hint="eastAsia"/>
          <w:b/>
          <w:sz w:val="36"/>
          <w:szCs w:val="36"/>
        </w:rPr>
        <w:t>合同使用说明</w:t>
      </w:r>
    </w:p>
    <w:p>
      <w:pPr>
        <w:spacing w:line="600" w:lineRule="exact"/>
        <w:ind w:firstLine="640" w:firstLineChars="200"/>
        <w:rPr>
          <w:rFonts w:eastAsia="仿宋_GB2312"/>
          <w:sz w:val="32"/>
          <w:szCs w:val="32"/>
        </w:rPr>
      </w:pPr>
      <w:r>
        <w:rPr>
          <w:rFonts w:eastAsia="仿宋_GB2312"/>
          <w:sz w:val="32"/>
          <w:szCs w:val="32"/>
        </w:rPr>
        <w:t>本合同仅供柳州市范围内预拌商品混凝土销售使用，合同签定后需到柳州市混凝土行业协会登记备案。各预拌商品混凝土生产企业在使用本格式合同时，需按统一格式进行合同编号和合同备案编号。</w:t>
      </w:r>
    </w:p>
    <w:p>
      <w:pPr>
        <w:spacing w:line="600" w:lineRule="exact"/>
        <w:ind w:firstLine="640" w:firstLineChars="200"/>
        <w:rPr>
          <w:rFonts w:eastAsia="仿宋_GB2312"/>
          <w:sz w:val="32"/>
          <w:szCs w:val="32"/>
        </w:rPr>
      </w:pPr>
      <w:r>
        <w:rPr>
          <w:rFonts w:eastAsia="仿宋_GB2312"/>
          <w:sz w:val="32"/>
          <w:szCs w:val="32"/>
        </w:rPr>
        <w:t>一、企业合同编号方式如下：</w:t>
      </w:r>
    </w:p>
    <w:p>
      <w:pPr>
        <w:spacing w:line="600" w:lineRule="exact"/>
        <w:rPr>
          <w:rFonts w:eastAsia="仿宋_GB2312"/>
          <w:sz w:val="32"/>
          <w:szCs w:val="32"/>
        </w:rPr>
      </w:pPr>
      <w:r>
        <w:rPr>
          <w:rFonts w:eastAsia="仿宋_GB2312"/>
          <w:sz w:val="32"/>
          <w:szCs w:val="32"/>
        </w:rPr>
        <w:t xml:space="preserve">    N0：</w:t>
      </w:r>
      <w:r>
        <w:rPr>
          <w:rFonts w:eastAsia="仿宋_GB2312"/>
          <w:sz w:val="32"/>
          <w:szCs w:val="32"/>
          <w:u w:val="single"/>
        </w:rPr>
        <w:t>××</w:t>
      </w:r>
      <w:r>
        <w:rPr>
          <w:rFonts w:eastAsia="仿宋_GB2312"/>
          <w:sz w:val="32"/>
          <w:szCs w:val="32"/>
        </w:rPr>
        <w:t>—</w:t>
      </w:r>
      <w:r>
        <w:rPr>
          <w:rFonts w:eastAsia="仿宋_GB2312"/>
          <w:sz w:val="32"/>
          <w:szCs w:val="32"/>
          <w:u w:val="single"/>
        </w:rPr>
        <w:t>××××</w:t>
      </w:r>
      <w:r>
        <w:rPr>
          <w:rFonts w:eastAsia="仿宋_GB2312"/>
          <w:sz w:val="32"/>
          <w:szCs w:val="32"/>
        </w:rPr>
        <w:t>—</w:t>
      </w:r>
      <w:r>
        <w:rPr>
          <w:rFonts w:eastAsia="仿宋_GB2312"/>
          <w:sz w:val="32"/>
          <w:szCs w:val="32"/>
          <w:u w:val="single"/>
        </w:rPr>
        <w:t>×××</w:t>
      </w:r>
    </w:p>
    <w:p>
      <w:pPr>
        <w:spacing w:line="600" w:lineRule="exact"/>
        <w:rPr>
          <w:rFonts w:eastAsia="仿宋_GB2312"/>
          <w:sz w:val="32"/>
          <w:szCs w:val="32"/>
        </w:rPr>
      </w:pPr>
      <w:r>
        <w:rPr>
          <w:rFonts w:eastAsia="仿宋_GB2312"/>
          <w:sz w:val="32"/>
          <w:szCs w:val="32"/>
        </w:rPr>
        <w:t xml:space="preserve">          ↓      ↓       ↓</w:t>
      </w:r>
    </w:p>
    <w:p>
      <w:pPr>
        <w:spacing w:line="600" w:lineRule="exact"/>
        <w:rPr>
          <w:rFonts w:eastAsia="仿宋_GB2312"/>
          <w:sz w:val="32"/>
          <w:szCs w:val="32"/>
        </w:rPr>
      </w:pPr>
      <w:r>
        <w:rPr>
          <w:rFonts w:eastAsia="仿宋_GB2312"/>
          <w:sz w:val="32"/>
          <w:szCs w:val="32"/>
        </w:rPr>
        <w:t xml:space="preserve">     企业代号   年度号    顺序号</w:t>
      </w:r>
    </w:p>
    <w:p>
      <w:pPr>
        <w:spacing w:line="600" w:lineRule="exact"/>
        <w:ind w:firstLine="640" w:firstLineChars="200"/>
        <w:rPr>
          <w:rFonts w:eastAsia="仿宋_GB2312"/>
          <w:sz w:val="32"/>
          <w:szCs w:val="32"/>
        </w:rPr>
      </w:pPr>
      <w:r>
        <w:rPr>
          <w:rFonts w:eastAsia="仿宋_GB2312"/>
          <w:sz w:val="32"/>
          <w:szCs w:val="32"/>
        </w:rPr>
        <w:t>1、企业代号编码方式：</w:t>
      </w:r>
    </w:p>
    <w:p>
      <w:pPr>
        <w:spacing w:line="600" w:lineRule="exact"/>
        <w:ind w:firstLine="640" w:firstLineChars="200"/>
        <w:rPr>
          <w:rFonts w:eastAsia="仿宋_GB2312"/>
          <w:sz w:val="32"/>
          <w:szCs w:val="32"/>
        </w:rPr>
      </w:pPr>
      <w:r>
        <w:rPr>
          <w:rFonts w:eastAsia="仿宋_GB2312"/>
          <w:sz w:val="32"/>
          <w:szCs w:val="32"/>
        </w:rPr>
        <w:t>两位企业名称汉语拼音首位大写缩写组成，例如：柳州展南预拌混凝土有限公司其企业名称为展南，汉语拼音为zhan nan，其首位大写缩写为“ZN”。</w:t>
      </w:r>
    </w:p>
    <w:p>
      <w:pPr>
        <w:spacing w:line="600" w:lineRule="exact"/>
        <w:ind w:firstLine="640" w:firstLineChars="200"/>
        <w:rPr>
          <w:rFonts w:eastAsia="仿宋_GB2312"/>
          <w:sz w:val="32"/>
          <w:szCs w:val="32"/>
        </w:rPr>
      </w:pPr>
      <w:r>
        <w:rPr>
          <w:rFonts w:eastAsia="仿宋_GB2312"/>
          <w:sz w:val="32"/>
          <w:szCs w:val="32"/>
        </w:rPr>
        <w:t>2、年度号编码方式：</w:t>
      </w:r>
    </w:p>
    <w:p>
      <w:pPr>
        <w:spacing w:line="600" w:lineRule="exact"/>
        <w:ind w:firstLine="640" w:firstLineChars="200"/>
        <w:rPr>
          <w:rFonts w:eastAsia="仿宋_GB2312"/>
          <w:sz w:val="32"/>
          <w:szCs w:val="32"/>
        </w:rPr>
      </w:pPr>
      <w:r>
        <w:rPr>
          <w:rFonts w:eastAsia="仿宋_GB2312"/>
          <w:sz w:val="32"/>
          <w:szCs w:val="32"/>
        </w:rPr>
        <w:t>以公元年度序号为年度号编码，例如：2013年度的年度号编码为“2013”。</w:t>
      </w:r>
    </w:p>
    <w:p>
      <w:pPr>
        <w:spacing w:line="600" w:lineRule="exact"/>
        <w:ind w:firstLine="640" w:firstLineChars="200"/>
        <w:rPr>
          <w:rFonts w:eastAsia="仿宋_GB2312"/>
          <w:sz w:val="32"/>
          <w:szCs w:val="32"/>
        </w:rPr>
      </w:pPr>
      <w:r>
        <w:rPr>
          <w:rFonts w:eastAsia="仿宋_GB2312"/>
          <w:sz w:val="32"/>
          <w:szCs w:val="32"/>
        </w:rPr>
        <w:t>3、顺序号编码方式：</w:t>
      </w:r>
    </w:p>
    <w:p>
      <w:pPr>
        <w:spacing w:line="600" w:lineRule="exact"/>
        <w:ind w:firstLine="640" w:firstLineChars="200"/>
        <w:rPr>
          <w:rFonts w:eastAsia="仿宋_GB2312"/>
          <w:sz w:val="32"/>
          <w:szCs w:val="32"/>
        </w:rPr>
      </w:pPr>
      <w:r>
        <w:rPr>
          <w:rFonts w:eastAsia="仿宋_GB2312"/>
          <w:sz w:val="32"/>
          <w:szCs w:val="32"/>
        </w:rPr>
        <w:t>按合同签定顺序千位制编码，起始编码为“001”，编码范围“001～999”。</w:t>
      </w:r>
    </w:p>
    <w:p>
      <w:pPr>
        <w:spacing w:line="600" w:lineRule="exact"/>
        <w:ind w:firstLine="640" w:firstLineChars="200"/>
        <w:rPr>
          <w:rFonts w:eastAsia="仿宋_GB2312"/>
          <w:sz w:val="32"/>
          <w:szCs w:val="32"/>
        </w:rPr>
      </w:pPr>
      <w:r>
        <w:rPr>
          <w:rFonts w:eastAsia="仿宋_GB2312"/>
          <w:sz w:val="32"/>
          <w:szCs w:val="32"/>
        </w:rPr>
        <w:t>以柳州展南预拌混凝土有限公司2013年度所签定完成的第三个项目预拌商品混凝土销售合同为例，其合同编号即为：“ZN—2013-003”</w:t>
      </w:r>
    </w:p>
    <w:p>
      <w:pPr>
        <w:snapToGrid w:val="0"/>
        <w:spacing w:line="480" w:lineRule="auto"/>
        <w:ind w:firstLine="480" w:firstLineChars="200"/>
        <w:rPr>
          <w:sz w:val="24"/>
        </w:rPr>
      </w:pPr>
      <w:r>
        <w:rPr>
          <w:rFonts w:hAnsi="宋体"/>
          <w:sz w:val="24"/>
        </w:rPr>
        <w:t>根据《中华人民共和国合同法》、《中华人民共和国建筑法》、</w:t>
      </w:r>
      <w:r>
        <w:rPr>
          <w:sz w:val="24"/>
        </w:rPr>
        <w:t>GB/T14902-2003</w:t>
      </w:r>
      <w:r>
        <w:rPr>
          <w:rFonts w:hAnsi="宋体"/>
          <w:sz w:val="24"/>
        </w:rPr>
        <w:t>《预拌混凝土》等有关法律法规的规定，甲、乙双方在自愿、平等、公平、诚实和信用的基础上，经协商一致，订立本合同，供甲乙双方严格履行。</w:t>
      </w:r>
    </w:p>
    <w:p>
      <w:pPr>
        <w:snapToGrid w:val="0"/>
        <w:spacing w:line="720" w:lineRule="auto"/>
        <w:ind w:firstLine="480" w:firstLineChars="200"/>
        <w:rPr>
          <w:sz w:val="24"/>
          <w:u w:val="single"/>
        </w:rPr>
      </w:pPr>
      <w:r>
        <w:rPr>
          <w:rFonts w:hAnsi="宋体"/>
          <w:sz w:val="24"/>
        </w:rPr>
        <w:t>一、工程名称：</w:t>
      </w:r>
      <w:r>
        <w:rPr>
          <w:sz w:val="24"/>
          <w:u w:val="single"/>
        </w:rPr>
        <w:t xml:space="preserve">                                          </w:t>
      </w:r>
    </w:p>
    <w:p>
      <w:pPr>
        <w:snapToGrid w:val="0"/>
        <w:spacing w:line="720" w:lineRule="auto"/>
        <w:ind w:firstLine="480" w:firstLineChars="200"/>
        <w:rPr>
          <w:sz w:val="24"/>
          <w:u w:val="single"/>
        </w:rPr>
      </w:pPr>
      <w:r>
        <w:rPr>
          <w:rFonts w:hAnsi="宋体"/>
          <w:sz w:val="24"/>
        </w:rPr>
        <w:t>二、建设单位：</w:t>
      </w:r>
      <w:r>
        <w:rPr>
          <w:sz w:val="24"/>
          <w:u w:val="single"/>
        </w:rPr>
        <w:t xml:space="preserve">                                          </w:t>
      </w:r>
    </w:p>
    <w:p>
      <w:pPr>
        <w:snapToGrid w:val="0"/>
        <w:spacing w:line="720" w:lineRule="auto"/>
        <w:ind w:firstLine="480" w:firstLineChars="200"/>
        <w:rPr>
          <w:sz w:val="24"/>
          <w:u w:val="single"/>
        </w:rPr>
      </w:pPr>
      <w:r>
        <w:rPr>
          <w:rFonts w:hAnsi="宋体"/>
          <w:sz w:val="24"/>
        </w:rPr>
        <w:t>三、施工单位：</w:t>
      </w:r>
      <w:r>
        <w:rPr>
          <w:sz w:val="24"/>
          <w:u w:val="single"/>
        </w:rPr>
        <w:t xml:space="preserve">                                          </w:t>
      </w:r>
    </w:p>
    <w:p>
      <w:pPr>
        <w:snapToGrid w:val="0"/>
        <w:spacing w:line="720" w:lineRule="auto"/>
        <w:ind w:firstLine="480" w:firstLineChars="200"/>
        <w:rPr>
          <w:sz w:val="24"/>
          <w:u w:val="single"/>
        </w:rPr>
      </w:pPr>
      <w:r>
        <w:rPr>
          <w:rFonts w:hAnsi="宋体"/>
          <w:sz w:val="24"/>
        </w:rPr>
        <w:t>四、工程地点：</w:t>
      </w:r>
      <w:r>
        <w:rPr>
          <w:sz w:val="24"/>
          <w:u w:val="single"/>
        </w:rPr>
        <w:t xml:space="preserve">                                          </w:t>
      </w:r>
    </w:p>
    <w:p>
      <w:pPr>
        <w:snapToGrid w:val="0"/>
        <w:spacing w:line="480" w:lineRule="auto"/>
        <w:ind w:firstLine="480" w:firstLineChars="200"/>
        <w:rPr>
          <w:sz w:val="24"/>
        </w:rPr>
      </w:pPr>
      <w:r>
        <w:rPr>
          <w:rFonts w:hAnsi="宋体"/>
          <w:sz w:val="24"/>
        </w:rPr>
        <w:t>五、混凝土品种及单价</w:t>
      </w:r>
    </w:p>
    <w:p>
      <w:pPr>
        <w:spacing w:after="156" w:afterLines="50" w:line="480" w:lineRule="auto"/>
        <w:ind w:firstLine="476"/>
        <w:rPr>
          <w:sz w:val="24"/>
        </w:rPr>
      </w:pPr>
      <w:r>
        <w:rPr>
          <w:rFonts w:hAnsi="宋体"/>
          <w:sz w:val="24"/>
        </w:rPr>
        <w:t>乙方按表一中的混凝土品种及单价向甲方供应上述工程项目的预拌混凝土。</w:t>
      </w:r>
    </w:p>
    <w:p>
      <w:pPr>
        <w:spacing w:after="156" w:afterLines="50" w:line="480" w:lineRule="auto"/>
        <w:ind w:firstLine="476"/>
        <w:rPr>
          <w:sz w:val="24"/>
        </w:rPr>
      </w:pPr>
      <w:r>
        <w:rPr>
          <w:rFonts w:hAnsi="宋体"/>
          <w:sz w:val="24"/>
        </w:rPr>
        <w:t>六、计划与发货：</w:t>
      </w:r>
    </w:p>
    <w:p>
      <w:pPr>
        <w:snapToGrid w:val="0"/>
        <w:spacing w:line="480" w:lineRule="auto"/>
        <w:ind w:firstLine="480" w:firstLineChars="200"/>
        <w:rPr>
          <w:sz w:val="24"/>
        </w:rPr>
      </w:pPr>
      <w:r>
        <w:rPr>
          <w:rFonts w:hAnsi="宋体"/>
          <w:sz w:val="24"/>
        </w:rPr>
        <w:t>甲方每次报送计划时，须提前</w:t>
      </w:r>
      <w:r>
        <w:rPr>
          <w:sz w:val="24"/>
          <w:u w:val="single"/>
        </w:rPr>
        <w:t xml:space="preserve">   </w:t>
      </w:r>
      <w:r>
        <w:rPr>
          <w:rFonts w:hAnsi="宋体"/>
          <w:sz w:val="24"/>
        </w:rPr>
        <w:t>小时由项目负责人或委托人以书面、传真或手机短信方式将计划表通知乙方，以便乙方做好原材料及供应混凝土前的准备工作。计划表应明确浇筑时间、强度等级、坍落度、数量、浇筑部位和泵送方式等。订货计划报出后，如遇有临时变更的，甲方须提前</w:t>
      </w:r>
      <w:r>
        <w:rPr>
          <w:sz w:val="24"/>
          <w:u w:val="single"/>
        </w:rPr>
        <w:t xml:space="preserve">   </w:t>
      </w:r>
      <w:r>
        <w:rPr>
          <w:rFonts w:hAnsi="宋体"/>
          <w:sz w:val="24"/>
        </w:rPr>
        <w:t>个小时通知乙方，否则甲方应对乙方已出厂的混凝土予以签收。</w:t>
      </w:r>
    </w:p>
    <w:p>
      <w:pPr>
        <w:snapToGrid w:val="0"/>
        <w:spacing w:line="480" w:lineRule="auto"/>
        <w:ind w:firstLine="480" w:firstLineChars="200"/>
        <w:rPr>
          <w:sz w:val="24"/>
        </w:rPr>
      </w:pPr>
      <w:r>
        <w:rPr>
          <w:rFonts w:hAnsi="宋体"/>
          <w:sz w:val="24"/>
        </w:rPr>
        <w:t>一次订货少于混凝土搅拌车额定容积量时，收取空载费。</w:t>
      </w:r>
    </w:p>
    <w:p>
      <w:pPr>
        <w:snapToGrid w:val="0"/>
        <w:spacing w:line="480" w:lineRule="auto"/>
        <w:ind w:firstLine="480" w:firstLineChars="200"/>
        <w:rPr>
          <w:sz w:val="24"/>
        </w:rPr>
      </w:pPr>
      <w:r>
        <w:rPr>
          <w:rFonts w:hAnsi="宋体"/>
          <w:sz w:val="24"/>
        </w:rPr>
        <w:t>空载费</w:t>
      </w:r>
      <w:r>
        <w:rPr>
          <w:sz w:val="24"/>
        </w:rPr>
        <w:t>=</w:t>
      </w:r>
      <w:r>
        <w:rPr>
          <w:rFonts w:hAnsi="宋体"/>
          <w:sz w:val="24"/>
        </w:rPr>
        <w:t>［（车辆额定装载量－实际装载量）</w:t>
      </w:r>
      <w:r>
        <w:rPr>
          <w:sz w:val="24"/>
        </w:rPr>
        <w:t>×</w:t>
      </w:r>
      <w:r>
        <w:rPr>
          <w:sz w:val="24"/>
          <w:u w:val="single"/>
        </w:rPr>
        <w:t xml:space="preserve">    </w:t>
      </w:r>
      <w:r>
        <w:rPr>
          <w:rFonts w:hAnsi="宋体"/>
          <w:sz w:val="24"/>
        </w:rPr>
        <w:t>元</w:t>
      </w:r>
      <w:r>
        <w:rPr>
          <w:sz w:val="24"/>
        </w:rPr>
        <w:t>/m</w:t>
      </w:r>
      <w:r>
        <w:rPr>
          <w:sz w:val="24"/>
          <w:vertAlign w:val="superscript"/>
        </w:rPr>
        <w:t>3</w:t>
      </w:r>
      <w:r>
        <w:rPr>
          <w:rFonts w:hAnsi="宋体"/>
          <w:sz w:val="24"/>
        </w:rPr>
        <w:t>］。</w:t>
      </w:r>
    </w:p>
    <w:p>
      <w:pPr>
        <w:spacing w:after="156" w:afterLines="50" w:line="360" w:lineRule="auto"/>
        <w:rPr>
          <w:sz w:val="24"/>
        </w:rPr>
      </w:pPr>
      <w:r>
        <w:rPr>
          <w:rFonts w:hAnsi="宋体"/>
          <w:sz w:val="24"/>
        </w:rPr>
        <w:t>表一</w:t>
      </w:r>
    </w:p>
    <w:tbl>
      <w:tblPr>
        <w:tblStyle w:val="6"/>
        <w:tblW w:w="951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40"/>
        <w:gridCol w:w="1059"/>
        <w:gridCol w:w="1020"/>
        <w:gridCol w:w="1019"/>
        <w:gridCol w:w="1067"/>
        <w:gridCol w:w="1059"/>
        <w:gridCol w:w="38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644" w:hRule="atLeast"/>
          <w:jc w:val="center"/>
        </w:trPr>
        <w:tc>
          <w:tcPr>
            <w:tcW w:w="440" w:type="dxa"/>
            <w:noWrap w:val="0"/>
            <w:tcMar>
              <w:left w:w="28" w:type="dxa"/>
              <w:right w:w="28" w:type="dxa"/>
            </w:tcMar>
            <w:vAlign w:val="center"/>
          </w:tcPr>
          <w:p>
            <w:pPr>
              <w:spacing w:line="360" w:lineRule="exact"/>
              <w:jc w:val="center"/>
              <w:rPr>
                <w:sz w:val="24"/>
              </w:rPr>
            </w:pPr>
            <w:r>
              <w:rPr>
                <w:rFonts w:hAnsi="宋体"/>
                <w:sz w:val="24"/>
              </w:rPr>
              <w:t>类别</w:t>
            </w:r>
          </w:p>
        </w:tc>
        <w:tc>
          <w:tcPr>
            <w:tcW w:w="1059" w:type="dxa"/>
            <w:noWrap w:val="0"/>
            <w:tcMar>
              <w:left w:w="28" w:type="dxa"/>
              <w:right w:w="28" w:type="dxa"/>
            </w:tcMar>
            <w:vAlign w:val="center"/>
          </w:tcPr>
          <w:p>
            <w:pPr>
              <w:spacing w:line="360" w:lineRule="exact"/>
              <w:jc w:val="center"/>
              <w:rPr>
                <w:sz w:val="24"/>
              </w:rPr>
            </w:pPr>
            <w:r>
              <w:rPr>
                <w:rFonts w:hAnsi="宋体"/>
                <w:sz w:val="24"/>
              </w:rPr>
              <w:t>强度等级</w:t>
            </w:r>
          </w:p>
        </w:tc>
        <w:tc>
          <w:tcPr>
            <w:tcW w:w="1020" w:type="dxa"/>
            <w:noWrap w:val="0"/>
            <w:tcMar>
              <w:left w:w="28" w:type="dxa"/>
              <w:right w:w="28" w:type="dxa"/>
            </w:tcMar>
            <w:vAlign w:val="center"/>
          </w:tcPr>
          <w:p>
            <w:pPr>
              <w:spacing w:line="360" w:lineRule="exact"/>
              <w:jc w:val="center"/>
              <w:rPr>
                <w:sz w:val="24"/>
              </w:rPr>
            </w:pPr>
            <w:r>
              <w:rPr>
                <w:rFonts w:hAnsi="宋体"/>
                <w:sz w:val="24"/>
              </w:rPr>
              <w:t>可泵混凝土单价</w:t>
            </w:r>
          </w:p>
          <w:p>
            <w:pPr>
              <w:spacing w:line="360" w:lineRule="exact"/>
              <w:jc w:val="center"/>
              <w:rPr>
                <w:sz w:val="24"/>
              </w:rPr>
            </w:pPr>
            <w:r>
              <w:rPr>
                <w:rFonts w:hAnsi="宋体"/>
                <w:sz w:val="24"/>
              </w:rPr>
              <w:t>（元</w:t>
            </w:r>
            <w:r>
              <w:rPr>
                <w:sz w:val="24"/>
              </w:rPr>
              <w:t>/ m</w:t>
            </w:r>
            <w:r>
              <w:rPr>
                <w:sz w:val="24"/>
                <w:vertAlign w:val="superscript"/>
              </w:rPr>
              <w:t>3</w:t>
            </w:r>
            <w:r>
              <w:rPr>
                <w:rFonts w:hAnsi="宋体"/>
                <w:sz w:val="24"/>
              </w:rPr>
              <w:t>）</w:t>
            </w:r>
          </w:p>
        </w:tc>
        <w:tc>
          <w:tcPr>
            <w:tcW w:w="1019" w:type="dxa"/>
            <w:noWrap w:val="0"/>
            <w:tcMar>
              <w:left w:w="28" w:type="dxa"/>
              <w:right w:w="28" w:type="dxa"/>
            </w:tcMar>
            <w:vAlign w:val="center"/>
          </w:tcPr>
          <w:p>
            <w:pPr>
              <w:spacing w:line="360" w:lineRule="exact"/>
              <w:jc w:val="center"/>
              <w:rPr>
                <w:sz w:val="24"/>
              </w:rPr>
            </w:pPr>
            <w:r>
              <w:rPr>
                <w:rFonts w:hAnsi="宋体"/>
                <w:sz w:val="24"/>
              </w:rPr>
              <w:t>订货</w:t>
            </w:r>
          </w:p>
          <w:p>
            <w:pPr>
              <w:spacing w:line="360" w:lineRule="exact"/>
              <w:jc w:val="center"/>
              <w:rPr>
                <w:sz w:val="24"/>
              </w:rPr>
            </w:pPr>
            <w:r>
              <w:rPr>
                <w:rFonts w:hAnsi="宋体"/>
                <w:sz w:val="24"/>
              </w:rPr>
              <w:t>数量</w:t>
            </w:r>
          </w:p>
          <w:p>
            <w:pPr>
              <w:spacing w:line="360" w:lineRule="exact"/>
              <w:jc w:val="center"/>
              <w:rPr>
                <w:sz w:val="24"/>
              </w:rPr>
            </w:pPr>
            <w:r>
              <w:rPr>
                <w:rFonts w:hAnsi="宋体"/>
                <w:sz w:val="24"/>
              </w:rPr>
              <w:t>（</w:t>
            </w:r>
            <w:r>
              <w:rPr>
                <w:sz w:val="24"/>
              </w:rPr>
              <w:t>m</w:t>
            </w:r>
            <w:r>
              <w:rPr>
                <w:sz w:val="24"/>
                <w:vertAlign w:val="superscript"/>
              </w:rPr>
              <w:t>3</w:t>
            </w:r>
            <w:r>
              <w:rPr>
                <w:rFonts w:hAnsi="宋体"/>
                <w:sz w:val="24"/>
              </w:rPr>
              <w:t>）</w:t>
            </w:r>
          </w:p>
        </w:tc>
        <w:tc>
          <w:tcPr>
            <w:tcW w:w="1067" w:type="dxa"/>
            <w:noWrap w:val="0"/>
            <w:vAlign w:val="top"/>
          </w:tcPr>
          <w:p>
            <w:pPr>
              <w:spacing w:line="360" w:lineRule="exact"/>
              <w:jc w:val="center"/>
              <w:rPr>
                <w:sz w:val="24"/>
              </w:rPr>
            </w:pPr>
            <w:r>
              <w:rPr>
                <w:rFonts w:hAnsi="宋体"/>
                <w:bCs/>
                <w:sz w:val="24"/>
              </w:rPr>
              <w:t>非泵混凝土</w:t>
            </w:r>
            <w:r>
              <w:rPr>
                <w:rFonts w:hAnsi="宋体"/>
                <w:sz w:val="24"/>
              </w:rPr>
              <w:t>单价</w:t>
            </w:r>
          </w:p>
          <w:p>
            <w:pPr>
              <w:spacing w:line="360" w:lineRule="exact"/>
              <w:jc w:val="center"/>
              <w:rPr>
                <w:sz w:val="24"/>
              </w:rPr>
            </w:pPr>
            <w:r>
              <w:rPr>
                <w:rFonts w:hAnsi="宋体"/>
                <w:sz w:val="24"/>
              </w:rPr>
              <w:t>（元</w:t>
            </w:r>
            <w:r>
              <w:rPr>
                <w:sz w:val="24"/>
              </w:rPr>
              <w:t>/ m</w:t>
            </w:r>
            <w:r>
              <w:rPr>
                <w:sz w:val="24"/>
                <w:vertAlign w:val="superscript"/>
              </w:rPr>
              <w:t>3</w:t>
            </w:r>
            <w:r>
              <w:rPr>
                <w:rFonts w:hAnsi="宋体"/>
                <w:sz w:val="24"/>
              </w:rPr>
              <w:t>）</w:t>
            </w:r>
          </w:p>
        </w:tc>
        <w:tc>
          <w:tcPr>
            <w:tcW w:w="1059" w:type="dxa"/>
            <w:noWrap w:val="0"/>
            <w:tcMar>
              <w:left w:w="28" w:type="dxa"/>
              <w:right w:w="28" w:type="dxa"/>
            </w:tcMar>
            <w:vAlign w:val="center"/>
          </w:tcPr>
          <w:p>
            <w:pPr>
              <w:spacing w:line="360" w:lineRule="exact"/>
              <w:jc w:val="center"/>
              <w:rPr>
                <w:sz w:val="24"/>
              </w:rPr>
            </w:pPr>
            <w:r>
              <w:rPr>
                <w:rFonts w:hAnsi="宋体"/>
                <w:sz w:val="24"/>
              </w:rPr>
              <w:t>订货</w:t>
            </w:r>
          </w:p>
          <w:p>
            <w:pPr>
              <w:spacing w:line="360" w:lineRule="exact"/>
              <w:jc w:val="center"/>
              <w:rPr>
                <w:sz w:val="24"/>
              </w:rPr>
            </w:pPr>
            <w:r>
              <w:rPr>
                <w:rFonts w:hAnsi="宋体"/>
                <w:sz w:val="24"/>
              </w:rPr>
              <w:t>数量</w:t>
            </w:r>
          </w:p>
          <w:p>
            <w:pPr>
              <w:spacing w:line="360" w:lineRule="exact"/>
              <w:jc w:val="center"/>
              <w:rPr>
                <w:sz w:val="24"/>
              </w:rPr>
            </w:pPr>
            <w:r>
              <w:rPr>
                <w:rFonts w:hAnsi="宋体"/>
                <w:sz w:val="24"/>
              </w:rPr>
              <w:t>（</w:t>
            </w:r>
            <w:r>
              <w:rPr>
                <w:sz w:val="24"/>
              </w:rPr>
              <w:t>m</w:t>
            </w:r>
            <w:r>
              <w:rPr>
                <w:sz w:val="24"/>
                <w:vertAlign w:val="superscript"/>
              </w:rPr>
              <w:t>3</w:t>
            </w:r>
            <w:r>
              <w:rPr>
                <w:rFonts w:hAnsi="宋体"/>
                <w:sz w:val="24"/>
              </w:rPr>
              <w:t>）</w:t>
            </w:r>
          </w:p>
        </w:tc>
        <w:tc>
          <w:tcPr>
            <w:tcW w:w="3847" w:type="dxa"/>
            <w:noWrap w:val="0"/>
            <w:vAlign w:val="center"/>
          </w:tcPr>
          <w:p>
            <w:pPr>
              <w:spacing w:line="360" w:lineRule="exact"/>
              <w:jc w:val="center"/>
              <w:rPr>
                <w:sz w:val="24"/>
              </w:rPr>
            </w:pPr>
            <w:r>
              <w:rPr>
                <w:rFonts w:hAnsi="宋体"/>
                <w:sz w:val="24"/>
              </w:rPr>
              <w:t>备</w:t>
            </w:r>
            <w:r>
              <w:rPr>
                <w:sz w:val="24"/>
              </w:rPr>
              <w:t xml:space="preserve">        </w:t>
            </w:r>
            <w:r>
              <w:rPr>
                <w:rFonts w:hAnsi="宋体"/>
                <w:sz w:val="24"/>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restart"/>
            <w:noWrap w:val="0"/>
            <w:tcMar>
              <w:left w:w="28" w:type="dxa"/>
              <w:right w:w="28" w:type="dxa"/>
            </w:tcMar>
            <w:vAlign w:val="center"/>
          </w:tcPr>
          <w:p>
            <w:pPr>
              <w:spacing w:line="360" w:lineRule="exact"/>
              <w:jc w:val="center"/>
              <w:rPr>
                <w:bCs/>
                <w:sz w:val="24"/>
              </w:rPr>
            </w:pPr>
            <w:r>
              <w:rPr>
                <w:rFonts w:hAnsi="宋体"/>
                <w:bCs/>
                <w:sz w:val="24"/>
              </w:rPr>
              <w:t>普通混凝土</w:t>
            </w:r>
          </w:p>
        </w:tc>
        <w:tc>
          <w:tcPr>
            <w:tcW w:w="1059" w:type="dxa"/>
            <w:noWrap w:val="0"/>
            <w:tcMar>
              <w:left w:w="28" w:type="dxa"/>
              <w:right w:w="28" w:type="dxa"/>
            </w:tcMar>
            <w:vAlign w:val="center"/>
          </w:tcPr>
          <w:p>
            <w:pPr>
              <w:pStyle w:val="3"/>
              <w:spacing w:line="360" w:lineRule="exact"/>
              <w:rPr>
                <w:rFonts w:ascii="Times New Roman" w:eastAsia="宋体"/>
                <w:b w:val="0"/>
                <w:bCs/>
              </w:rPr>
            </w:pPr>
            <w:r>
              <w:rPr>
                <w:rFonts w:ascii="Times New Roman" w:eastAsia="宋体"/>
                <w:b w:val="0"/>
                <w:bCs/>
              </w:rPr>
              <w:t>C10</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z w:val="24"/>
              </w:rPr>
            </w:pPr>
          </w:p>
        </w:tc>
        <w:tc>
          <w:tcPr>
            <w:tcW w:w="1067" w:type="dxa"/>
            <w:noWrap w:val="0"/>
            <w:vAlign w:val="center"/>
          </w:tcPr>
          <w:p>
            <w:pPr>
              <w:spacing w:line="360" w:lineRule="exact"/>
              <w:jc w:val="center"/>
              <w:rPr>
                <w:bCs/>
                <w:sz w:val="24"/>
              </w:rPr>
            </w:pPr>
          </w:p>
        </w:tc>
        <w:tc>
          <w:tcPr>
            <w:tcW w:w="1059" w:type="dxa"/>
            <w:noWrap w:val="0"/>
            <w:tcMar>
              <w:left w:w="28" w:type="dxa"/>
              <w:right w:w="28" w:type="dxa"/>
            </w:tcMar>
            <w:vAlign w:val="center"/>
          </w:tcPr>
          <w:p>
            <w:pPr>
              <w:spacing w:line="360" w:lineRule="exact"/>
              <w:jc w:val="center"/>
              <w:rPr>
                <w:bCs/>
                <w:sz w:val="24"/>
              </w:rPr>
            </w:pPr>
          </w:p>
        </w:tc>
        <w:tc>
          <w:tcPr>
            <w:tcW w:w="3847" w:type="dxa"/>
            <w:vMerge w:val="restart"/>
            <w:noWrap w:val="0"/>
            <w:tcMar>
              <w:left w:w="28" w:type="dxa"/>
              <w:right w:w="28" w:type="dxa"/>
            </w:tcMar>
            <w:vAlign w:val="top"/>
          </w:tcPr>
          <w:p>
            <w:pPr>
              <w:spacing w:line="360" w:lineRule="exact"/>
              <w:ind w:left="1"/>
              <w:rPr>
                <w:bCs/>
                <w:kern w:val="0"/>
                <w:sz w:val="24"/>
              </w:rPr>
            </w:pPr>
            <w:r>
              <w:rPr>
                <w:bCs/>
                <w:kern w:val="0"/>
                <w:sz w:val="24"/>
              </w:rPr>
              <w:t>1</w:t>
            </w:r>
            <w:r>
              <w:rPr>
                <w:rFonts w:hAnsi="宋体"/>
                <w:bCs/>
                <w:kern w:val="0"/>
                <w:sz w:val="24"/>
              </w:rPr>
              <w:t>、若一次泵送混凝土数量少于</w:t>
            </w:r>
            <w:r>
              <w:rPr>
                <w:bCs/>
                <w:kern w:val="0"/>
                <w:sz w:val="24"/>
                <w:u w:val="single"/>
              </w:rPr>
              <w:t xml:space="preserve">  </w:t>
            </w:r>
            <w:r>
              <w:rPr>
                <w:bCs/>
                <w:kern w:val="0"/>
                <w:sz w:val="24"/>
              </w:rPr>
              <w:t>m</w:t>
            </w:r>
            <w:r>
              <w:rPr>
                <w:rFonts w:hAnsi="宋体"/>
                <w:bCs/>
                <w:kern w:val="0"/>
                <w:sz w:val="24"/>
                <w:vertAlign w:val="superscript"/>
              </w:rPr>
              <w:t>３</w:t>
            </w:r>
            <w:r>
              <w:rPr>
                <w:rFonts w:hAnsi="宋体"/>
                <w:bCs/>
                <w:kern w:val="0"/>
                <w:sz w:val="24"/>
              </w:rPr>
              <w:t>，则增加泵送台班费</w:t>
            </w:r>
            <w:r>
              <w:rPr>
                <w:bCs/>
                <w:kern w:val="0"/>
                <w:sz w:val="24"/>
                <w:u w:val="single"/>
              </w:rPr>
              <w:t xml:space="preserve">    </w:t>
            </w:r>
            <w:r>
              <w:rPr>
                <w:rFonts w:hAnsi="宋体"/>
                <w:bCs/>
                <w:kern w:val="0"/>
                <w:sz w:val="24"/>
              </w:rPr>
              <w:t>元</w:t>
            </w:r>
            <w:r>
              <w:rPr>
                <w:bCs/>
                <w:kern w:val="0"/>
                <w:sz w:val="24"/>
              </w:rPr>
              <w:t>/</w:t>
            </w:r>
            <w:r>
              <w:rPr>
                <w:rFonts w:hAnsi="宋体"/>
                <w:bCs/>
                <w:kern w:val="0"/>
                <w:sz w:val="24"/>
              </w:rPr>
              <w:t>次。</w:t>
            </w:r>
          </w:p>
          <w:p>
            <w:pPr>
              <w:spacing w:line="360" w:lineRule="exact"/>
              <w:ind w:left="1"/>
              <w:rPr>
                <w:bCs/>
                <w:kern w:val="0"/>
                <w:sz w:val="24"/>
              </w:rPr>
            </w:pPr>
            <w:r>
              <w:rPr>
                <w:bCs/>
                <w:kern w:val="0"/>
                <w:sz w:val="24"/>
              </w:rPr>
              <w:t>2</w:t>
            </w:r>
            <w:r>
              <w:rPr>
                <w:rFonts w:hAnsi="宋体"/>
                <w:bCs/>
                <w:kern w:val="0"/>
                <w:sz w:val="24"/>
              </w:rPr>
              <w:t>、混凝土坍落度：非泵送</w:t>
            </w:r>
            <w:r>
              <w:rPr>
                <w:bCs/>
                <w:kern w:val="0"/>
                <w:sz w:val="24"/>
              </w:rPr>
              <w:t>80</w:t>
            </w:r>
            <w:r>
              <w:rPr>
                <w:rFonts w:hAnsi="宋体"/>
                <w:bCs/>
                <w:kern w:val="0"/>
                <w:sz w:val="24"/>
              </w:rPr>
              <w:t>～</w:t>
            </w:r>
            <w:r>
              <w:rPr>
                <w:bCs/>
                <w:kern w:val="0"/>
                <w:sz w:val="24"/>
              </w:rPr>
              <w:t>140mm</w:t>
            </w:r>
            <w:r>
              <w:rPr>
                <w:rFonts w:hAnsi="宋体"/>
                <w:bCs/>
                <w:kern w:val="0"/>
                <w:sz w:val="24"/>
              </w:rPr>
              <w:t>，泵送</w:t>
            </w:r>
            <w:r>
              <w:rPr>
                <w:bCs/>
                <w:kern w:val="0"/>
                <w:sz w:val="24"/>
              </w:rPr>
              <w:t>140</w:t>
            </w:r>
            <w:r>
              <w:rPr>
                <w:rFonts w:hAnsi="宋体"/>
                <w:bCs/>
                <w:kern w:val="0"/>
                <w:sz w:val="24"/>
              </w:rPr>
              <w:t>～</w:t>
            </w:r>
            <w:r>
              <w:rPr>
                <w:bCs/>
                <w:kern w:val="0"/>
                <w:sz w:val="24"/>
              </w:rPr>
              <w:t>180mm</w:t>
            </w:r>
            <w:r>
              <w:rPr>
                <w:rFonts w:hAnsi="宋体"/>
                <w:bCs/>
                <w:kern w:val="0"/>
                <w:sz w:val="24"/>
              </w:rPr>
              <w:t>；要求大于上限时，单价增加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w:t>
            </w:r>
          </w:p>
          <w:p>
            <w:pPr>
              <w:spacing w:line="360" w:lineRule="exact"/>
              <w:ind w:left="1"/>
              <w:rPr>
                <w:bCs/>
                <w:kern w:val="0"/>
                <w:sz w:val="24"/>
              </w:rPr>
            </w:pPr>
            <w:r>
              <w:rPr>
                <w:bCs/>
                <w:kern w:val="0"/>
                <w:sz w:val="24"/>
              </w:rPr>
              <w:t>3</w:t>
            </w:r>
            <w:r>
              <w:rPr>
                <w:rFonts w:hAnsi="宋体"/>
                <w:bCs/>
                <w:kern w:val="0"/>
                <w:sz w:val="24"/>
              </w:rPr>
              <w:t>、润泵砂浆按当次浇筑同等级混凝土单价计算，如使用润泵剂按</w:t>
            </w:r>
            <w:r>
              <w:rPr>
                <w:bCs/>
                <w:kern w:val="0"/>
                <w:sz w:val="24"/>
                <w:u w:val="single"/>
              </w:rPr>
              <w:t xml:space="preserve">    </w:t>
            </w:r>
            <w:r>
              <w:rPr>
                <w:rFonts w:hAnsi="宋体"/>
                <w:bCs/>
                <w:kern w:val="0"/>
                <w:sz w:val="24"/>
              </w:rPr>
              <w:t>元</w:t>
            </w:r>
            <w:r>
              <w:rPr>
                <w:bCs/>
                <w:kern w:val="0"/>
                <w:sz w:val="24"/>
              </w:rPr>
              <w:t>/</w:t>
            </w:r>
            <w:r>
              <w:rPr>
                <w:rFonts w:hAnsi="宋体"/>
                <w:bCs/>
                <w:kern w:val="0"/>
                <w:sz w:val="24"/>
              </w:rPr>
              <w:t>次计算。</w:t>
            </w:r>
          </w:p>
          <w:p>
            <w:pPr>
              <w:spacing w:line="360" w:lineRule="exact"/>
              <w:ind w:left="1"/>
              <w:rPr>
                <w:bCs/>
                <w:kern w:val="0"/>
                <w:sz w:val="24"/>
              </w:rPr>
            </w:pPr>
            <w:r>
              <w:rPr>
                <w:bCs/>
                <w:kern w:val="0"/>
                <w:sz w:val="24"/>
              </w:rPr>
              <w:t>4</w:t>
            </w:r>
            <w:r>
              <w:rPr>
                <w:rFonts w:hAnsi="宋体"/>
                <w:bCs/>
                <w:kern w:val="0"/>
                <w:sz w:val="24"/>
              </w:rPr>
              <w:t>、早强混凝土单价按同等级混凝土价格增加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，水下混凝土按同等级混凝土单价增加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w:t>
            </w:r>
          </w:p>
          <w:p>
            <w:pPr>
              <w:spacing w:line="360" w:lineRule="exact"/>
              <w:ind w:left="1"/>
              <w:rPr>
                <w:bCs/>
                <w:kern w:val="0"/>
                <w:sz w:val="24"/>
              </w:rPr>
            </w:pPr>
            <w:r>
              <w:rPr>
                <w:bCs/>
                <w:kern w:val="0"/>
                <w:sz w:val="24"/>
              </w:rPr>
              <w:t>5</w:t>
            </w:r>
            <w:r>
              <w:rPr>
                <w:rFonts w:hAnsi="宋体"/>
                <w:bCs/>
                <w:kern w:val="0"/>
                <w:sz w:val="24"/>
              </w:rPr>
              <w:t>、碎石粒径为</w:t>
            </w:r>
            <w:r>
              <w:rPr>
                <w:bCs/>
                <w:kern w:val="0"/>
                <w:sz w:val="24"/>
              </w:rPr>
              <w:t>5</w:t>
            </w:r>
            <w:r>
              <w:rPr>
                <w:rFonts w:hAnsi="宋体"/>
                <w:bCs/>
                <w:kern w:val="0"/>
                <w:sz w:val="24"/>
              </w:rPr>
              <w:t>～</w:t>
            </w:r>
            <w:r>
              <w:rPr>
                <w:bCs/>
                <w:kern w:val="0"/>
                <w:sz w:val="24"/>
              </w:rPr>
              <w:t>10</w:t>
            </w:r>
            <w:r>
              <w:rPr>
                <w:rFonts w:hAnsi="宋体"/>
                <w:bCs/>
                <w:kern w:val="0"/>
                <w:sz w:val="24"/>
              </w:rPr>
              <w:t>㎜的细石混凝土单价按同等级混凝土价格增加</w:t>
            </w:r>
            <w:r>
              <w:rPr>
                <w:bCs/>
                <w:kern w:val="0"/>
                <w:sz w:val="24"/>
                <w:u w:val="single"/>
              </w:rPr>
              <w:t xml:space="preserve">  </w:t>
            </w:r>
          </w:p>
          <w:p>
            <w:pPr>
              <w:spacing w:line="360" w:lineRule="exact"/>
              <w:ind w:left="1"/>
              <w:rPr>
                <w:bCs/>
                <w:kern w:val="0"/>
                <w:sz w:val="24"/>
              </w:rPr>
            </w:pPr>
            <w:r>
              <w:rPr>
                <w:rFonts w:hAnsi="宋体"/>
                <w:bCs/>
                <w:kern w:val="0"/>
                <w:sz w:val="24"/>
              </w:rPr>
              <w:t>元</w:t>
            </w:r>
            <w:r>
              <w:rPr>
                <w:bCs/>
                <w:kern w:val="0"/>
                <w:sz w:val="24"/>
              </w:rPr>
              <w:t>/m</w:t>
            </w:r>
            <w:r>
              <w:rPr>
                <w:bCs/>
                <w:kern w:val="0"/>
                <w:sz w:val="24"/>
                <w:vertAlign w:val="superscript"/>
              </w:rPr>
              <w:t>3</w:t>
            </w:r>
            <w:r>
              <w:rPr>
                <w:rFonts w:hAnsi="宋体"/>
                <w:bCs/>
                <w:kern w:val="0"/>
                <w:sz w:val="24"/>
              </w:rPr>
              <w:t>。</w:t>
            </w:r>
          </w:p>
          <w:p>
            <w:pPr>
              <w:spacing w:line="360" w:lineRule="exact"/>
              <w:ind w:left="120" w:hanging="120" w:hangingChars="50"/>
              <w:rPr>
                <w:bCs/>
                <w:kern w:val="0"/>
                <w:sz w:val="24"/>
              </w:rPr>
            </w:pPr>
            <w:r>
              <w:rPr>
                <w:bCs/>
                <w:kern w:val="0"/>
                <w:sz w:val="24"/>
              </w:rPr>
              <w:t>6</w:t>
            </w:r>
            <w:r>
              <w:rPr>
                <w:rFonts w:hAnsi="宋体"/>
                <w:bCs/>
                <w:kern w:val="0"/>
                <w:sz w:val="24"/>
              </w:rPr>
              <w:t>、防水抗渗混凝土：</w:t>
            </w:r>
            <w:r>
              <w:rPr>
                <w:bCs/>
                <w:kern w:val="0"/>
                <w:sz w:val="24"/>
              </w:rPr>
              <w:t>P6</w:t>
            </w:r>
            <w:r>
              <w:rPr>
                <w:rFonts w:hAnsi="宋体"/>
                <w:bCs/>
                <w:kern w:val="0"/>
                <w:sz w:val="24"/>
              </w:rPr>
              <w:t>单价</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w:t>
            </w:r>
            <w:r>
              <w:rPr>
                <w:bCs/>
                <w:kern w:val="0"/>
                <w:sz w:val="24"/>
              </w:rPr>
              <w:t>P8</w:t>
            </w:r>
            <w:r>
              <w:rPr>
                <w:rFonts w:hAnsi="宋体"/>
                <w:bCs/>
                <w:kern w:val="0"/>
                <w:sz w:val="24"/>
              </w:rPr>
              <w:t>单价增加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w:t>
            </w:r>
            <w:r>
              <w:rPr>
                <w:bCs/>
                <w:kern w:val="0"/>
                <w:sz w:val="24"/>
              </w:rPr>
              <w:t>P12</w:t>
            </w:r>
            <w:r>
              <w:rPr>
                <w:rFonts w:hAnsi="宋体"/>
                <w:bCs/>
                <w:kern w:val="0"/>
                <w:sz w:val="24"/>
              </w:rPr>
              <w:t>单价</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w:t>
            </w:r>
          </w:p>
          <w:p>
            <w:pPr>
              <w:spacing w:line="360" w:lineRule="exact"/>
              <w:ind w:left="1"/>
              <w:rPr>
                <w:bCs/>
                <w:kern w:val="0"/>
                <w:sz w:val="24"/>
              </w:rPr>
            </w:pPr>
            <w:r>
              <w:rPr>
                <w:bCs/>
                <w:kern w:val="0"/>
                <w:sz w:val="24"/>
              </w:rPr>
              <w:t>7</w:t>
            </w:r>
            <w:r>
              <w:rPr>
                <w:rFonts w:hAnsi="宋体"/>
                <w:bCs/>
                <w:kern w:val="0"/>
                <w:sz w:val="24"/>
              </w:rPr>
              <w:t>、膨胀混凝土：膨胀剂掺量</w:t>
            </w:r>
            <w:r>
              <w:rPr>
                <w:bCs/>
                <w:kern w:val="0"/>
                <w:sz w:val="24"/>
              </w:rPr>
              <w:t>10%</w:t>
            </w:r>
            <w:r>
              <w:rPr>
                <w:rFonts w:hAnsi="宋体"/>
                <w:bCs/>
                <w:kern w:val="0"/>
                <w:sz w:val="24"/>
              </w:rPr>
              <w:t>以内的单价增加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。若甲方提供膨胀剂等外加材料的混凝土，乙方按混凝土数量收取</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的加工费。</w:t>
            </w:r>
          </w:p>
          <w:p>
            <w:pPr>
              <w:spacing w:line="360" w:lineRule="exact"/>
              <w:ind w:left="1"/>
              <w:rPr>
                <w:bCs/>
                <w:kern w:val="0"/>
                <w:sz w:val="24"/>
              </w:rPr>
            </w:pPr>
            <w:r>
              <w:rPr>
                <w:bCs/>
                <w:kern w:val="0"/>
                <w:sz w:val="24"/>
              </w:rPr>
              <w:t>8</w:t>
            </w:r>
            <w:r>
              <w:rPr>
                <w:rFonts w:hAnsi="宋体"/>
                <w:bCs/>
                <w:kern w:val="0"/>
                <w:sz w:val="24"/>
              </w:rPr>
              <w:t>、混凝土泵送高度超过</w:t>
            </w:r>
            <w:r>
              <w:rPr>
                <w:bCs/>
                <w:kern w:val="0"/>
                <w:sz w:val="24"/>
              </w:rPr>
              <w:t>18</w:t>
            </w:r>
            <w:r>
              <w:rPr>
                <w:rFonts w:hAnsi="宋体"/>
                <w:bCs/>
                <w:kern w:val="0"/>
                <w:sz w:val="24"/>
              </w:rPr>
              <w:t>层的，从</w:t>
            </w:r>
            <w:r>
              <w:rPr>
                <w:bCs/>
                <w:kern w:val="0"/>
                <w:sz w:val="24"/>
              </w:rPr>
              <w:t>19</w:t>
            </w:r>
            <w:r>
              <w:rPr>
                <w:rFonts w:hAnsi="宋体"/>
                <w:bCs/>
                <w:kern w:val="0"/>
                <w:sz w:val="24"/>
              </w:rPr>
              <w:t>层起，高度每上升</w:t>
            </w:r>
            <w:r>
              <w:rPr>
                <w:bCs/>
                <w:kern w:val="0"/>
                <w:sz w:val="24"/>
              </w:rPr>
              <w:t>5</w:t>
            </w:r>
            <w:r>
              <w:rPr>
                <w:rFonts w:hAnsi="宋体"/>
                <w:bCs/>
                <w:kern w:val="0"/>
                <w:sz w:val="24"/>
              </w:rPr>
              <w:t>层，混凝土价格按同等等级单价递增</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。（即</w:t>
            </w:r>
            <w:r>
              <w:rPr>
                <w:bCs/>
                <w:kern w:val="0"/>
                <w:sz w:val="24"/>
              </w:rPr>
              <w:t>19</w:t>
            </w:r>
            <w:r>
              <w:rPr>
                <w:rFonts w:hAnsi="宋体"/>
                <w:bCs/>
                <w:kern w:val="0"/>
                <w:sz w:val="24"/>
              </w:rPr>
              <w:t>～</w:t>
            </w:r>
            <w:r>
              <w:rPr>
                <w:bCs/>
                <w:kern w:val="0"/>
                <w:sz w:val="24"/>
              </w:rPr>
              <w:t>23</w:t>
            </w:r>
            <w:r>
              <w:rPr>
                <w:rFonts w:hAnsi="宋体"/>
                <w:bCs/>
                <w:kern w:val="0"/>
                <w:sz w:val="24"/>
              </w:rPr>
              <w:t>层增加</w:t>
            </w:r>
            <w:r>
              <w:rPr>
                <w:bCs/>
                <w:kern w:val="0"/>
                <w:sz w:val="24"/>
                <w:u w:val="single"/>
              </w:rPr>
              <w:t xml:space="preserve">  </w:t>
            </w:r>
            <w:r>
              <w:rPr>
                <w:rFonts w:hAnsi="宋体"/>
                <w:bCs/>
                <w:kern w:val="0"/>
                <w:sz w:val="24"/>
              </w:rPr>
              <w:t>元</w:t>
            </w:r>
            <w:r>
              <w:rPr>
                <w:bCs/>
                <w:kern w:val="0"/>
                <w:sz w:val="24"/>
              </w:rPr>
              <w:t>/ m</w:t>
            </w:r>
            <w:r>
              <w:rPr>
                <w:bCs/>
                <w:kern w:val="0"/>
                <w:sz w:val="24"/>
                <w:vertAlign w:val="superscript"/>
              </w:rPr>
              <w:t>3</w:t>
            </w:r>
            <w:r>
              <w:rPr>
                <w:rFonts w:hAnsi="宋体"/>
                <w:bCs/>
                <w:kern w:val="0"/>
                <w:sz w:val="24"/>
              </w:rPr>
              <w:t>，</w:t>
            </w:r>
            <w:r>
              <w:rPr>
                <w:bCs/>
                <w:kern w:val="0"/>
                <w:sz w:val="24"/>
              </w:rPr>
              <w:t>24</w:t>
            </w:r>
            <w:r>
              <w:rPr>
                <w:rFonts w:hAnsi="宋体"/>
                <w:bCs/>
                <w:kern w:val="0"/>
                <w:sz w:val="24"/>
              </w:rPr>
              <w:t>～</w:t>
            </w:r>
            <w:r>
              <w:rPr>
                <w:bCs/>
                <w:kern w:val="0"/>
                <w:sz w:val="24"/>
              </w:rPr>
              <w:t>28</w:t>
            </w:r>
            <w:r>
              <w:rPr>
                <w:rFonts w:hAnsi="宋体"/>
                <w:bCs/>
                <w:kern w:val="0"/>
                <w:sz w:val="24"/>
              </w:rPr>
              <w:t>层增加</w:t>
            </w:r>
            <w:r>
              <w:rPr>
                <w:bCs/>
                <w:kern w:val="0"/>
                <w:sz w:val="24"/>
                <w:u w:val="single"/>
              </w:rPr>
              <w:t xml:space="preserve">  </w:t>
            </w:r>
            <w:r>
              <w:rPr>
                <w:rFonts w:hAnsi="宋体"/>
                <w:bCs/>
                <w:kern w:val="0"/>
                <w:sz w:val="24"/>
              </w:rPr>
              <w:t>元</w:t>
            </w:r>
            <w:r>
              <w:rPr>
                <w:bCs/>
                <w:kern w:val="0"/>
                <w:sz w:val="24"/>
              </w:rPr>
              <w:t>/m</w:t>
            </w:r>
            <w:r>
              <w:rPr>
                <w:bCs/>
                <w:kern w:val="0"/>
                <w:sz w:val="24"/>
                <w:vertAlign w:val="superscript"/>
              </w:rPr>
              <w:t>3</w:t>
            </w:r>
            <w:r>
              <w:rPr>
                <w:rFonts w:hAnsi="宋体"/>
                <w:bCs/>
                <w:kern w:val="0"/>
                <w:sz w:val="24"/>
              </w:rPr>
              <w:t>，以此类推）。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spacing w:line="360" w:lineRule="exact"/>
              <w:jc w:val="center"/>
              <w:rPr>
                <w:bCs/>
                <w:sz w:val="24"/>
              </w:rPr>
            </w:pPr>
            <w:r>
              <w:rPr>
                <w:bCs/>
                <w:sz w:val="24"/>
              </w:rPr>
              <w:t>C15</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z w:val="24"/>
              </w:rPr>
            </w:pPr>
          </w:p>
        </w:tc>
        <w:tc>
          <w:tcPr>
            <w:tcW w:w="1067" w:type="dxa"/>
            <w:noWrap w:val="0"/>
            <w:vAlign w:val="center"/>
          </w:tcPr>
          <w:p>
            <w:pPr>
              <w:spacing w:line="360" w:lineRule="exact"/>
              <w:jc w:val="center"/>
              <w:rPr>
                <w:bCs/>
                <w:sz w:val="24"/>
              </w:rPr>
            </w:pPr>
          </w:p>
        </w:tc>
        <w:tc>
          <w:tcPr>
            <w:tcW w:w="1059" w:type="dxa"/>
            <w:noWrap w:val="0"/>
            <w:tcMar>
              <w:left w:w="28" w:type="dxa"/>
              <w:right w:w="28" w:type="dxa"/>
            </w:tcMar>
            <w:vAlign w:val="center"/>
          </w:tcPr>
          <w:p>
            <w:pPr>
              <w:spacing w:line="360" w:lineRule="exact"/>
              <w:jc w:val="center"/>
              <w:rPr>
                <w:bCs/>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9"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C20</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z w:val="24"/>
              </w:rPr>
            </w:pPr>
          </w:p>
        </w:tc>
        <w:tc>
          <w:tcPr>
            <w:tcW w:w="1059" w:type="dxa"/>
            <w:noWrap w:val="0"/>
            <w:tcMar>
              <w:left w:w="28" w:type="dxa"/>
              <w:right w:w="28" w:type="dxa"/>
            </w:tcMar>
            <w:vAlign w:val="center"/>
          </w:tcPr>
          <w:p>
            <w:pPr>
              <w:spacing w:line="360" w:lineRule="exact"/>
              <w:jc w:val="center"/>
              <w:rPr>
                <w:bCs/>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C25</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z w:val="24"/>
              </w:rPr>
            </w:pPr>
          </w:p>
        </w:tc>
        <w:tc>
          <w:tcPr>
            <w:tcW w:w="1059" w:type="dxa"/>
            <w:noWrap w:val="0"/>
            <w:tcMar>
              <w:left w:w="28" w:type="dxa"/>
              <w:right w:w="28" w:type="dxa"/>
            </w:tcMar>
            <w:vAlign w:val="center"/>
          </w:tcPr>
          <w:p>
            <w:pPr>
              <w:spacing w:line="360" w:lineRule="exact"/>
              <w:jc w:val="center"/>
              <w:rPr>
                <w:bCs/>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C30</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9"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C35</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C40</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C45</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9"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C50</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C55</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tcBorders>
              <w:bottom w:val="single" w:color="auto" w:sz="8" w:space="0"/>
            </w:tcBorders>
            <w:noWrap w:val="0"/>
            <w:tcMar>
              <w:left w:w="28" w:type="dxa"/>
              <w:right w:w="28" w:type="dxa"/>
            </w:tcMar>
            <w:vAlign w:val="center"/>
          </w:tcPr>
          <w:p>
            <w:pPr>
              <w:spacing w:line="360" w:lineRule="exact"/>
              <w:jc w:val="center"/>
              <w:rPr>
                <w:bCs/>
                <w:sz w:val="24"/>
              </w:rPr>
            </w:pPr>
          </w:p>
        </w:tc>
        <w:tc>
          <w:tcPr>
            <w:tcW w:w="1059" w:type="dxa"/>
            <w:tcBorders>
              <w:bottom w:val="single" w:color="auto" w:sz="8" w:space="0"/>
            </w:tcBorders>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C60</w:t>
            </w:r>
          </w:p>
        </w:tc>
        <w:tc>
          <w:tcPr>
            <w:tcW w:w="1020" w:type="dxa"/>
            <w:tcBorders>
              <w:bottom w:val="single" w:color="auto" w:sz="8" w:space="0"/>
            </w:tcBorders>
            <w:noWrap w:val="0"/>
            <w:tcMar>
              <w:left w:w="28" w:type="dxa"/>
              <w:right w:w="28" w:type="dxa"/>
            </w:tcMar>
            <w:vAlign w:val="center"/>
          </w:tcPr>
          <w:p>
            <w:pPr>
              <w:spacing w:line="360" w:lineRule="exact"/>
              <w:jc w:val="center"/>
              <w:rPr>
                <w:bCs/>
                <w:sz w:val="24"/>
              </w:rPr>
            </w:pPr>
          </w:p>
        </w:tc>
        <w:tc>
          <w:tcPr>
            <w:tcW w:w="1019" w:type="dxa"/>
            <w:tcBorders>
              <w:bottom w:val="single" w:color="auto" w:sz="8" w:space="0"/>
            </w:tcBorders>
            <w:noWrap w:val="0"/>
            <w:tcMar>
              <w:left w:w="28" w:type="dxa"/>
              <w:right w:w="28" w:type="dxa"/>
            </w:tcMar>
            <w:vAlign w:val="center"/>
          </w:tcPr>
          <w:p>
            <w:pPr>
              <w:spacing w:line="360" w:lineRule="exact"/>
              <w:jc w:val="center"/>
              <w:rPr>
                <w:bCs/>
                <w:spacing w:val="-18"/>
                <w:sz w:val="24"/>
              </w:rPr>
            </w:pPr>
          </w:p>
        </w:tc>
        <w:tc>
          <w:tcPr>
            <w:tcW w:w="1067" w:type="dxa"/>
            <w:tcBorders>
              <w:bottom w:val="single" w:color="auto" w:sz="8" w:space="0"/>
            </w:tcBorders>
            <w:noWrap w:val="0"/>
            <w:vAlign w:val="center"/>
          </w:tcPr>
          <w:p>
            <w:pPr>
              <w:spacing w:line="360" w:lineRule="exact"/>
              <w:jc w:val="center"/>
              <w:rPr>
                <w:bCs/>
                <w:spacing w:val="-18"/>
                <w:sz w:val="24"/>
              </w:rPr>
            </w:pPr>
          </w:p>
        </w:tc>
        <w:tc>
          <w:tcPr>
            <w:tcW w:w="1059" w:type="dxa"/>
            <w:tcBorders>
              <w:bottom w:val="single" w:color="auto" w:sz="8" w:space="0"/>
            </w:tcBorders>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9" w:hRule="atLeast"/>
          <w:jc w:val="center"/>
        </w:trPr>
        <w:tc>
          <w:tcPr>
            <w:tcW w:w="440" w:type="dxa"/>
            <w:vMerge w:val="restart"/>
            <w:tcBorders>
              <w:left w:val="single" w:color="auto" w:sz="8" w:space="0"/>
              <w:bottom w:val="single" w:color="auto" w:sz="8" w:space="0"/>
              <w:right w:val="single" w:color="auto" w:sz="8" w:space="0"/>
            </w:tcBorders>
            <w:noWrap w:val="0"/>
            <w:tcMar>
              <w:left w:w="28" w:type="dxa"/>
              <w:right w:w="28" w:type="dxa"/>
            </w:tcMar>
            <w:vAlign w:val="center"/>
          </w:tcPr>
          <w:p>
            <w:pPr>
              <w:spacing w:line="360" w:lineRule="exact"/>
              <w:jc w:val="center"/>
              <w:rPr>
                <w:bCs/>
                <w:sz w:val="24"/>
              </w:rPr>
            </w:pPr>
            <w:r>
              <w:rPr>
                <w:rFonts w:hAnsi="宋体"/>
                <w:bCs/>
                <w:sz w:val="24"/>
              </w:rPr>
              <w:t>抗折混凝土</w:t>
            </w:r>
          </w:p>
        </w:tc>
        <w:tc>
          <w:tcPr>
            <w:tcW w:w="1059" w:type="dxa"/>
            <w:tcBorders>
              <w:left w:val="single" w:color="auto" w:sz="8" w:space="0"/>
              <w:bottom w:val="single" w:color="auto" w:sz="8" w:space="0"/>
              <w:right w:val="single" w:color="auto" w:sz="8" w:space="0"/>
            </w:tcBorders>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3.5 MPa</w:t>
            </w:r>
          </w:p>
        </w:tc>
        <w:tc>
          <w:tcPr>
            <w:tcW w:w="1020" w:type="dxa"/>
            <w:tcBorders>
              <w:left w:val="single" w:color="auto" w:sz="8" w:space="0"/>
              <w:bottom w:val="single" w:color="auto" w:sz="8" w:space="0"/>
              <w:right w:val="single" w:color="auto" w:sz="8" w:space="0"/>
            </w:tcBorders>
            <w:noWrap w:val="0"/>
            <w:tcMar>
              <w:left w:w="28" w:type="dxa"/>
              <w:right w:w="28" w:type="dxa"/>
            </w:tcMar>
            <w:vAlign w:val="center"/>
          </w:tcPr>
          <w:p>
            <w:pPr>
              <w:spacing w:line="360" w:lineRule="exact"/>
              <w:jc w:val="center"/>
              <w:rPr>
                <w:bCs/>
                <w:sz w:val="24"/>
              </w:rPr>
            </w:pPr>
          </w:p>
        </w:tc>
        <w:tc>
          <w:tcPr>
            <w:tcW w:w="1019" w:type="dxa"/>
            <w:tcBorders>
              <w:left w:val="single" w:color="auto" w:sz="8" w:space="0"/>
              <w:bottom w:val="single" w:color="auto" w:sz="8" w:space="0"/>
              <w:right w:val="single" w:color="auto" w:sz="8" w:space="0"/>
            </w:tcBorders>
            <w:noWrap w:val="0"/>
            <w:tcMar>
              <w:left w:w="28" w:type="dxa"/>
              <w:right w:w="28" w:type="dxa"/>
            </w:tcMar>
            <w:vAlign w:val="center"/>
          </w:tcPr>
          <w:p>
            <w:pPr>
              <w:spacing w:line="360" w:lineRule="exact"/>
              <w:jc w:val="center"/>
              <w:rPr>
                <w:bCs/>
                <w:spacing w:val="-18"/>
                <w:sz w:val="24"/>
              </w:rPr>
            </w:pPr>
          </w:p>
        </w:tc>
        <w:tc>
          <w:tcPr>
            <w:tcW w:w="1067" w:type="dxa"/>
            <w:tcBorders>
              <w:left w:val="single" w:color="auto" w:sz="8" w:space="0"/>
              <w:bottom w:val="single" w:color="auto" w:sz="8" w:space="0"/>
              <w:right w:val="single" w:color="auto" w:sz="8" w:space="0"/>
            </w:tcBorders>
            <w:noWrap w:val="0"/>
            <w:vAlign w:val="center"/>
          </w:tcPr>
          <w:p>
            <w:pPr>
              <w:spacing w:line="360" w:lineRule="exact"/>
              <w:jc w:val="center"/>
              <w:rPr>
                <w:bCs/>
                <w:spacing w:val="-18"/>
                <w:sz w:val="24"/>
              </w:rPr>
            </w:pPr>
          </w:p>
        </w:tc>
        <w:tc>
          <w:tcPr>
            <w:tcW w:w="1059" w:type="dxa"/>
            <w:tcBorders>
              <w:left w:val="single" w:color="auto" w:sz="8" w:space="0"/>
              <w:bottom w:val="single" w:color="auto" w:sz="8" w:space="0"/>
              <w:right w:val="single" w:color="auto" w:sz="8" w:space="0"/>
            </w:tcBorders>
            <w:noWrap w:val="0"/>
            <w:tcMar>
              <w:left w:w="28" w:type="dxa"/>
              <w:right w:w="28" w:type="dxa"/>
            </w:tcMar>
            <w:vAlign w:val="center"/>
          </w:tcPr>
          <w:p>
            <w:pPr>
              <w:spacing w:line="360" w:lineRule="exact"/>
              <w:jc w:val="center"/>
              <w:rPr>
                <w:bCs/>
                <w:spacing w:val="-18"/>
                <w:sz w:val="24"/>
              </w:rPr>
            </w:pPr>
          </w:p>
        </w:tc>
        <w:tc>
          <w:tcPr>
            <w:tcW w:w="3847" w:type="dxa"/>
            <w:vMerge w:val="continue"/>
            <w:tcBorders>
              <w:left w:val="single" w:color="auto" w:sz="8" w:space="0"/>
            </w:tcBorders>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tcBorders>
              <w:top w:val="single" w:color="auto" w:sz="8" w:space="0"/>
            </w:tcBorders>
            <w:noWrap w:val="0"/>
            <w:tcMar>
              <w:left w:w="28" w:type="dxa"/>
              <w:right w:w="28" w:type="dxa"/>
            </w:tcMar>
            <w:vAlign w:val="center"/>
          </w:tcPr>
          <w:p>
            <w:pPr>
              <w:spacing w:line="360" w:lineRule="exact"/>
              <w:jc w:val="center"/>
              <w:rPr>
                <w:bCs/>
                <w:sz w:val="24"/>
              </w:rPr>
            </w:pPr>
          </w:p>
        </w:tc>
        <w:tc>
          <w:tcPr>
            <w:tcW w:w="1059" w:type="dxa"/>
            <w:tcBorders>
              <w:top w:val="single" w:color="auto" w:sz="8" w:space="0"/>
            </w:tcBorders>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4.0 MPa</w:t>
            </w:r>
          </w:p>
        </w:tc>
        <w:tc>
          <w:tcPr>
            <w:tcW w:w="1020" w:type="dxa"/>
            <w:tcBorders>
              <w:top w:val="single" w:color="auto" w:sz="8" w:space="0"/>
            </w:tcBorders>
            <w:noWrap w:val="0"/>
            <w:tcMar>
              <w:left w:w="28" w:type="dxa"/>
              <w:right w:w="28" w:type="dxa"/>
            </w:tcMar>
            <w:vAlign w:val="center"/>
          </w:tcPr>
          <w:p>
            <w:pPr>
              <w:spacing w:line="360" w:lineRule="exact"/>
              <w:jc w:val="center"/>
              <w:rPr>
                <w:bCs/>
                <w:sz w:val="24"/>
              </w:rPr>
            </w:pPr>
          </w:p>
        </w:tc>
        <w:tc>
          <w:tcPr>
            <w:tcW w:w="1019" w:type="dxa"/>
            <w:tcBorders>
              <w:top w:val="single" w:color="auto" w:sz="8" w:space="0"/>
            </w:tcBorders>
            <w:noWrap w:val="0"/>
            <w:tcMar>
              <w:left w:w="28" w:type="dxa"/>
              <w:right w:w="28" w:type="dxa"/>
            </w:tcMar>
            <w:vAlign w:val="center"/>
          </w:tcPr>
          <w:p>
            <w:pPr>
              <w:spacing w:line="360" w:lineRule="exact"/>
              <w:jc w:val="center"/>
              <w:rPr>
                <w:bCs/>
                <w:spacing w:val="-18"/>
                <w:sz w:val="24"/>
              </w:rPr>
            </w:pPr>
          </w:p>
        </w:tc>
        <w:tc>
          <w:tcPr>
            <w:tcW w:w="1067" w:type="dxa"/>
            <w:tcBorders>
              <w:top w:val="single" w:color="auto" w:sz="8" w:space="0"/>
            </w:tcBorders>
            <w:noWrap w:val="0"/>
            <w:vAlign w:val="center"/>
          </w:tcPr>
          <w:p>
            <w:pPr>
              <w:spacing w:line="360" w:lineRule="exact"/>
              <w:jc w:val="center"/>
              <w:rPr>
                <w:bCs/>
                <w:spacing w:val="-18"/>
                <w:sz w:val="24"/>
              </w:rPr>
            </w:pPr>
          </w:p>
        </w:tc>
        <w:tc>
          <w:tcPr>
            <w:tcW w:w="1059" w:type="dxa"/>
            <w:tcBorders>
              <w:top w:val="single" w:color="auto" w:sz="8" w:space="0"/>
            </w:tcBorders>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4.5 MPa</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9"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r>
              <w:rPr>
                <w:rFonts w:ascii="Times New Roman" w:eastAsia="宋体"/>
                <w:b w:val="0"/>
                <w:bCs/>
                <w:sz w:val="24"/>
              </w:rPr>
              <w:t>5.0 MPa</w:t>
            </w: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88" w:hRule="atLeast"/>
          <w:jc w:val="center"/>
        </w:trPr>
        <w:tc>
          <w:tcPr>
            <w:tcW w:w="440" w:type="dxa"/>
            <w:vMerge w:val="continue"/>
            <w:noWrap w:val="0"/>
            <w:tcMar>
              <w:left w:w="28" w:type="dxa"/>
              <w:right w:w="28" w:type="dxa"/>
            </w:tcMar>
            <w:vAlign w:val="center"/>
          </w:tcPr>
          <w:p>
            <w:pPr>
              <w:spacing w:line="360" w:lineRule="exact"/>
              <w:jc w:val="center"/>
              <w:rPr>
                <w:bCs/>
                <w:sz w:val="24"/>
              </w:rPr>
            </w:pPr>
          </w:p>
        </w:tc>
        <w:tc>
          <w:tcPr>
            <w:tcW w:w="1059" w:type="dxa"/>
            <w:noWrap w:val="0"/>
            <w:tcMar>
              <w:left w:w="28" w:type="dxa"/>
              <w:right w:w="28" w:type="dxa"/>
            </w:tcMar>
            <w:vAlign w:val="center"/>
          </w:tcPr>
          <w:p>
            <w:pPr>
              <w:pStyle w:val="2"/>
              <w:spacing w:line="360" w:lineRule="exact"/>
              <w:rPr>
                <w:rFonts w:ascii="Times New Roman" w:eastAsia="宋体"/>
                <w:b w:val="0"/>
                <w:bCs/>
                <w:sz w:val="24"/>
              </w:rPr>
            </w:pPr>
          </w:p>
        </w:tc>
        <w:tc>
          <w:tcPr>
            <w:tcW w:w="1020" w:type="dxa"/>
            <w:noWrap w:val="0"/>
            <w:tcMar>
              <w:left w:w="28" w:type="dxa"/>
              <w:right w:w="28" w:type="dxa"/>
            </w:tcMar>
            <w:vAlign w:val="center"/>
          </w:tcPr>
          <w:p>
            <w:pPr>
              <w:spacing w:line="360" w:lineRule="exact"/>
              <w:jc w:val="center"/>
              <w:rPr>
                <w:bCs/>
                <w:sz w:val="24"/>
              </w:rPr>
            </w:pPr>
          </w:p>
        </w:tc>
        <w:tc>
          <w:tcPr>
            <w:tcW w:w="1019" w:type="dxa"/>
            <w:noWrap w:val="0"/>
            <w:tcMar>
              <w:left w:w="28" w:type="dxa"/>
              <w:right w:w="28" w:type="dxa"/>
            </w:tcMar>
            <w:vAlign w:val="center"/>
          </w:tcPr>
          <w:p>
            <w:pPr>
              <w:spacing w:line="360" w:lineRule="exact"/>
              <w:jc w:val="center"/>
              <w:rPr>
                <w:bCs/>
                <w:spacing w:val="-18"/>
                <w:sz w:val="24"/>
              </w:rPr>
            </w:pPr>
          </w:p>
        </w:tc>
        <w:tc>
          <w:tcPr>
            <w:tcW w:w="1067" w:type="dxa"/>
            <w:noWrap w:val="0"/>
            <w:vAlign w:val="center"/>
          </w:tcPr>
          <w:p>
            <w:pPr>
              <w:spacing w:line="360" w:lineRule="exact"/>
              <w:jc w:val="center"/>
              <w:rPr>
                <w:bCs/>
                <w:spacing w:val="-18"/>
                <w:sz w:val="24"/>
              </w:rPr>
            </w:pPr>
          </w:p>
        </w:tc>
        <w:tc>
          <w:tcPr>
            <w:tcW w:w="1059" w:type="dxa"/>
            <w:noWrap w:val="0"/>
            <w:tcMar>
              <w:left w:w="28" w:type="dxa"/>
              <w:right w:w="28" w:type="dxa"/>
            </w:tcMar>
            <w:vAlign w:val="center"/>
          </w:tcPr>
          <w:p>
            <w:pPr>
              <w:spacing w:line="360" w:lineRule="exact"/>
              <w:jc w:val="center"/>
              <w:rPr>
                <w:bCs/>
                <w:spacing w:val="-18"/>
                <w:sz w:val="24"/>
              </w:rPr>
            </w:pPr>
          </w:p>
        </w:tc>
        <w:tc>
          <w:tcPr>
            <w:tcW w:w="3847" w:type="dxa"/>
            <w:vMerge w:val="continue"/>
            <w:noWrap w:val="0"/>
            <w:tcMar>
              <w:left w:w="28" w:type="dxa"/>
              <w:right w:w="28" w:type="dxa"/>
            </w:tcMar>
            <w:vAlign w:val="center"/>
          </w:tcPr>
          <w:p>
            <w:pPr>
              <w:spacing w:line="36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1110" w:hRule="atLeast"/>
          <w:jc w:val="center"/>
        </w:trPr>
        <w:tc>
          <w:tcPr>
            <w:tcW w:w="440" w:type="dxa"/>
            <w:noWrap w:val="0"/>
            <w:tcMar>
              <w:left w:w="28" w:type="dxa"/>
              <w:right w:w="28" w:type="dxa"/>
            </w:tcMar>
            <w:vAlign w:val="center"/>
          </w:tcPr>
          <w:p>
            <w:pPr>
              <w:spacing w:line="360" w:lineRule="exact"/>
              <w:jc w:val="center"/>
              <w:rPr>
                <w:bCs/>
                <w:sz w:val="24"/>
              </w:rPr>
            </w:pPr>
            <w:r>
              <w:rPr>
                <w:rFonts w:hAnsi="宋体"/>
                <w:bCs/>
                <w:sz w:val="24"/>
              </w:rPr>
              <w:t>说明</w:t>
            </w:r>
          </w:p>
        </w:tc>
        <w:tc>
          <w:tcPr>
            <w:tcW w:w="9071" w:type="dxa"/>
            <w:gridSpan w:val="6"/>
            <w:noWrap w:val="0"/>
            <w:tcMar>
              <w:left w:w="28" w:type="dxa"/>
              <w:right w:w="28" w:type="dxa"/>
            </w:tcMar>
            <w:vAlign w:val="center"/>
          </w:tcPr>
          <w:p>
            <w:pPr>
              <w:spacing w:line="360" w:lineRule="exact"/>
              <w:ind w:left="317" w:hanging="316" w:hangingChars="132"/>
              <w:rPr>
                <w:sz w:val="24"/>
              </w:rPr>
            </w:pPr>
            <w:r>
              <w:rPr>
                <w:sz w:val="24"/>
              </w:rPr>
              <w:t>1</w:t>
            </w:r>
            <w:r>
              <w:rPr>
                <w:rFonts w:hAnsi="宋体"/>
                <w:sz w:val="24"/>
              </w:rPr>
              <w:t>、</w:t>
            </w:r>
            <w:r>
              <w:rPr>
                <w:rFonts w:hAnsi="宋体"/>
                <w:bCs/>
                <w:kern w:val="0"/>
                <w:sz w:val="24"/>
              </w:rPr>
              <w:t>严禁润泵砂浆或润泵剂用于施工浇筑部份，否则出现质量问题由甲方负责。</w:t>
            </w:r>
          </w:p>
          <w:p>
            <w:pPr>
              <w:spacing w:line="360" w:lineRule="exact"/>
              <w:rPr>
                <w:bCs/>
                <w:sz w:val="24"/>
              </w:rPr>
            </w:pPr>
            <w:r>
              <w:rPr>
                <w:bCs/>
                <w:sz w:val="24"/>
              </w:rPr>
              <w:t>2</w:t>
            </w:r>
            <w:r>
              <w:rPr>
                <w:rFonts w:hAnsi="宋体"/>
                <w:bCs/>
                <w:sz w:val="24"/>
              </w:rPr>
              <w:t>、以上混凝土单价未含泵送机械设施费用，为按本合同第八条第</w:t>
            </w:r>
            <w:r>
              <w:rPr>
                <w:bCs/>
                <w:sz w:val="24"/>
              </w:rPr>
              <w:t>2</w:t>
            </w:r>
            <w:r>
              <w:rPr>
                <w:rFonts w:hAnsi="宋体"/>
                <w:bCs/>
                <w:sz w:val="24"/>
              </w:rPr>
              <w:t>款结算付款的价格，若</w:t>
            </w:r>
            <w:r>
              <w:rPr>
                <w:rFonts w:hAnsi="宋体"/>
                <w:sz w:val="24"/>
              </w:rPr>
              <w:t>甲方未按约定支付货款，则逾期支付的货款按</w:t>
            </w:r>
            <w:r>
              <w:rPr>
                <w:sz w:val="24"/>
                <w:u w:val="single"/>
              </w:rPr>
              <w:t xml:space="preserve">   </w:t>
            </w:r>
            <w:r>
              <w:rPr>
                <w:rFonts w:hAnsi="宋体"/>
                <w:sz w:val="24"/>
              </w:rPr>
              <w:t>元</w:t>
            </w:r>
            <w:r>
              <w:rPr>
                <w:sz w:val="24"/>
              </w:rPr>
              <w:t>/</w:t>
            </w:r>
            <w:r>
              <w:rPr>
                <w:bCs/>
                <w:kern w:val="0"/>
                <w:sz w:val="24"/>
              </w:rPr>
              <w:t xml:space="preserve"> m</w:t>
            </w:r>
            <w:r>
              <w:rPr>
                <w:bCs/>
                <w:kern w:val="0"/>
                <w:sz w:val="24"/>
                <w:vertAlign w:val="superscript"/>
              </w:rPr>
              <w:t>3</w:t>
            </w:r>
            <w:r>
              <w:rPr>
                <w:rFonts w:hAnsi="宋体"/>
                <w:bCs/>
                <w:kern w:val="0"/>
                <w:sz w:val="24"/>
              </w:rPr>
              <w:t>折算</w:t>
            </w:r>
            <w:r>
              <w:rPr>
                <w:rFonts w:hAnsi="宋体"/>
                <w:sz w:val="24"/>
              </w:rPr>
              <w:t>为混凝土数量计算，每逾期一天按合同单价增加</w:t>
            </w:r>
            <w:r>
              <w:rPr>
                <w:sz w:val="24"/>
                <w:u w:val="single"/>
              </w:rPr>
              <w:t xml:space="preserve">   </w:t>
            </w:r>
            <w:r>
              <w:rPr>
                <w:rFonts w:hAnsi="宋体"/>
                <w:sz w:val="24"/>
              </w:rPr>
              <w:t>元</w:t>
            </w:r>
            <w:r>
              <w:rPr>
                <w:sz w:val="24"/>
              </w:rPr>
              <w:t>/</w:t>
            </w:r>
            <w:r>
              <w:rPr>
                <w:bCs/>
                <w:kern w:val="0"/>
                <w:sz w:val="24"/>
              </w:rPr>
              <w:t>m</w:t>
            </w:r>
            <w:r>
              <w:rPr>
                <w:bCs/>
                <w:kern w:val="0"/>
                <w:sz w:val="24"/>
                <w:vertAlign w:val="superscript"/>
              </w:rPr>
              <w:t>3</w:t>
            </w:r>
            <w:r>
              <w:rPr>
                <w:rFonts w:hAnsi="宋体"/>
                <w:bCs/>
                <w:kern w:val="0"/>
                <w:sz w:val="24"/>
              </w:rPr>
              <w:t>。</w:t>
            </w:r>
            <w:r>
              <w:rPr>
                <w:bCs/>
                <w:sz w:val="24"/>
              </w:rPr>
              <w:t xml:space="preserve"> </w:t>
            </w:r>
          </w:p>
        </w:tc>
      </w:tr>
    </w:tbl>
    <w:p>
      <w:pPr>
        <w:spacing w:after="156" w:afterLines="50" w:line="360" w:lineRule="auto"/>
        <w:ind w:firstLine="476"/>
        <w:rPr>
          <w:sz w:val="24"/>
        </w:rPr>
      </w:pPr>
      <w:r>
        <w:rPr>
          <w:rFonts w:hAnsi="宋体"/>
          <w:sz w:val="24"/>
        </w:rPr>
        <w:t>七、计量及校核签收</w:t>
      </w:r>
    </w:p>
    <w:p>
      <w:pPr>
        <w:snapToGrid w:val="0"/>
        <w:spacing w:line="360" w:lineRule="auto"/>
        <w:ind w:firstLine="480" w:firstLineChars="200"/>
        <w:rPr>
          <w:sz w:val="24"/>
        </w:rPr>
      </w:pPr>
      <w:r>
        <w:rPr>
          <w:sz w:val="24"/>
        </w:rPr>
        <w:t>1</w:t>
      </w:r>
      <w:r>
        <w:rPr>
          <w:rFonts w:hAnsi="宋体"/>
          <w:sz w:val="24"/>
        </w:rPr>
        <w:t>、由甲方签收人员按乙方发货单上标明的数量进行签收，作为乙方供应量结算的依据。甲方指定</w:t>
      </w:r>
      <w:r>
        <w:rPr>
          <w:sz w:val="24"/>
        </w:rPr>
        <w:t>1</w:t>
      </w:r>
      <w:r>
        <w:rPr>
          <w:rFonts w:hAnsi="宋体"/>
          <w:sz w:val="24"/>
        </w:rPr>
        <w:t>～</w:t>
      </w:r>
      <w:r>
        <w:rPr>
          <w:sz w:val="24"/>
        </w:rPr>
        <w:t>2</w:t>
      </w:r>
      <w:r>
        <w:rPr>
          <w:rFonts w:hAnsi="宋体"/>
          <w:sz w:val="24"/>
        </w:rPr>
        <w:t>名签收人员，若有变动，甲方必须及时书面通知乙方，否则所造成的损失由甲方负责。</w:t>
      </w:r>
    </w:p>
    <w:p>
      <w:pPr>
        <w:snapToGrid w:val="0"/>
        <w:spacing w:line="360" w:lineRule="auto"/>
        <w:ind w:firstLine="240" w:firstLineChars="100"/>
        <w:rPr>
          <w:sz w:val="24"/>
        </w:rPr>
      </w:pPr>
      <w:r>
        <w:rPr>
          <w:rFonts w:hAnsi="宋体"/>
          <w:sz w:val="24"/>
        </w:rPr>
        <w:t>甲方签收员</w:t>
      </w:r>
      <w:r>
        <w:rPr>
          <w:sz w:val="24"/>
        </w:rPr>
        <w:t>1</w:t>
      </w:r>
      <w:r>
        <w:rPr>
          <w:rFonts w:hAnsi="宋体"/>
          <w:sz w:val="24"/>
        </w:rPr>
        <w:t>（姓名）：</w:t>
      </w:r>
      <w:r>
        <w:rPr>
          <w:sz w:val="24"/>
          <w:u w:val="single"/>
        </w:rPr>
        <w:t xml:space="preserve">          </w:t>
      </w:r>
      <w:r>
        <w:rPr>
          <w:rFonts w:hAnsi="宋体"/>
          <w:sz w:val="24"/>
        </w:rPr>
        <w:t>身份证号码：</w:t>
      </w:r>
      <w:r>
        <w:rPr>
          <w:sz w:val="24"/>
          <w:u w:val="single"/>
        </w:rPr>
        <w:t xml:space="preserve">               </w:t>
      </w:r>
      <w:r>
        <w:rPr>
          <w:rFonts w:hAnsi="宋体"/>
          <w:sz w:val="24"/>
        </w:rPr>
        <w:t>电话：</w:t>
      </w:r>
      <w:r>
        <w:rPr>
          <w:sz w:val="24"/>
          <w:u w:val="single"/>
        </w:rPr>
        <w:t xml:space="preserve">       </w:t>
      </w:r>
    </w:p>
    <w:p>
      <w:pPr>
        <w:snapToGrid w:val="0"/>
        <w:spacing w:line="360" w:lineRule="auto"/>
        <w:ind w:firstLine="240" w:firstLineChars="100"/>
        <w:rPr>
          <w:sz w:val="24"/>
        </w:rPr>
      </w:pPr>
      <w:r>
        <w:rPr>
          <w:rFonts w:hAnsi="宋体"/>
          <w:sz w:val="24"/>
        </w:rPr>
        <w:t>甲方签收员</w:t>
      </w:r>
      <w:r>
        <w:rPr>
          <w:sz w:val="24"/>
        </w:rPr>
        <w:t>2</w:t>
      </w:r>
      <w:r>
        <w:rPr>
          <w:rFonts w:hAnsi="宋体"/>
          <w:sz w:val="24"/>
        </w:rPr>
        <w:t>（姓名）：</w:t>
      </w:r>
      <w:r>
        <w:rPr>
          <w:sz w:val="24"/>
          <w:u w:val="single"/>
        </w:rPr>
        <w:t xml:space="preserve">          </w:t>
      </w:r>
      <w:r>
        <w:rPr>
          <w:rFonts w:hAnsi="宋体"/>
          <w:sz w:val="24"/>
        </w:rPr>
        <w:t>身份证号码：</w:t>
      </w:r>
      <w:r>
        <w:rPr>
          <w:sz w:val="24"/>
          <w:u w:val="single"/>
        </w:rPr>
        <w:t xml:space="preserve">               </w:t>
      </w:r>
      <w:r>
        <w:rPr>
          <w:rFonts w:hAnsi="宋体"/>
          <w:sz w:val="24"/>
        </w:rPr>
        <w:t>电话：</w:t>
      </w:r>
      <w:r>
        <w:rPr>
          <w:sz w:val="24"/>
          <w:u w:val="single"/>
        </w:rPr>
        <w:t xml:space="preserve">       </w:t>
      </w:r>
    </w:p>
    <w:p>
      <w:pPr>
        <w:snapToGrid w:val="0"/>
        <w:spacing w:line="360" w:lineRule="auto"/>
        <w:ind w:firstLine="240" w:firstLineChars="100"/>
        <w:rPr>
          <w:sz w:val="24"/>
        </w:rPr>
      </w:pPr>
      <w:r>
        <w:rPr>
          <w:rFonts w:hAnsi="宋体"/>
          <w:sz w:val="24"/>
        </w:rPr>
        <w:t>甲方结算员（姓名）：</w:t>
      </w:r>
      <w:r>
        <w:rPr>
          <w:sz w:val="24"/>
          <w:u w:val="single"/>
        </w:rPr>
        <w:t xml:space="preserve">           </w:t>
      </w:r>
      <w:r>
        <w:rPr>
          <w:rFonts w:hAnsi="宋体"/>
          <w:sz w:val="24"/>
        </w:rPr>
        <w:t>身份证号码：</w:t>
      </w:r>
      <w:r>
        <w:rPr>
          <w:sz w:val="24"/>
          <w:u w:val="single"/>
        </w:rPr>
        <w:t xml:space="preserve">               </w:t>
      </w:r>
      <w:r>
        <w:rPr>
          <w:rFonts w:hAnsi="宋体"/>
          <w:sz w:val="24"/>
        </w:rPr>
        <w:t>电话：</w:t>
      </w:r>
      <w:r>
        <w:rPr>
          <w:sz w:val="24"/>
          <w:u w:val="single"/>
        </w:rPr>
        <w:t xml:space="preserve">       </w:t>
      </w:r>
    </w:p>
    <w:p>
      <w:pPr>
        <w:snapToGrid w:val="0"/>
        <w:spacing w:line="360" w:lineRule="auto"/>
        <w:ind w:firstLine="480" w:firstLineChars="200"/>
        <w:rPr>
          <w:sz w:val="24"/>
        </w:rPr>
      </w:pPr>
      <w:r>
        <w:rPr>
          <w:sz w:val="24"/>
        </w:rPr>
        <w:t>2</w:t>
      </w:r>
      <w:r>
        <w:rPr>
          <w:rFonts w:hAnsi="宋体"/>
          <w:sz w:val="24"/>
        </w:rPr>
        <w:t>、每立方米混凝土拌和物重量以配合比容重为标准，负误差不超过</w:t>
      </w:r>
      <w:r>
        <w:rPr>
          <w:sz w:val="24"/>
          <w:u w:val="single"/>
        </w:rPr>
        <w:t xml:space="preserve">  </w:t>
      </w:r>
      <w:r>
        <w:rPr>
          <w:sz w:val="24"/>
        </w:rPr>
        <w:t>%</w:t>
      </w:r>
      <w:r>
        <w:rPr>
          <w:rFonts w:hAnsi="宋体"/>
          <w:sz w:val="24"/>
        </w:rPr>
        <w:t>。如甲方对乙方计量有异议可以当场提出，以便双方校核，否则视为确认；甲方也可对任意车次抽检，以三车次平均数为计量基数，如乙方送货单与该基数负误差超过</w:t>
      </w:r>
      <w:r>
        <w:rPr>
          <w:sz w:val="24"/>
          <w:u w:val="single"/>
        </w:rPr>
        <w:t xml:space="preserve">   </w:t>
      </w:r>
      <w:r>
        <w:rPr>
          <w:rFonts w:hAnsi="宋体"/>
          <w:sz w:val="24"/>
        </w:rPr>
        <w:t>％时</w:t>
      </w:r>
      <w:r>
        <w:rPr>
          <w:sz w:val="24"/>
        </w:rPr>
        <w:t xml:space="preserve">, </w:t>
      </w:r>
      <w:r>
        <w:rPr>
          <w:rFonts w:hAnsi="宋体"/>
          <w:sz w:val="24"/>
        </w:rPr>
        <w:t>则本批次已供货量按抽查出来的负误差折减计量。</w:t>
      </w:r>
    </w:p>
    <w:p>
      <w:pPr>
        <w:tabs>
          <w:tab w:val="left" w:pos="945"/>
        </w:tabs>
        <w:spacing w:line="360" w:lineRule="auto"/>
        <w:ind w:firstLine="523" w:firstLineChars="218"/>
        <w:rPr>
          <w:kern w:val="0"/>
          <w:sz w:val="24"/>
        </w:rPr>
      </w:pPr>
      <w:r>
        <w:rPr>
          <w:kern w:val="0"/>
          <w:sz w:val="24"/>
        </w:rPr>
        <w:t>3</w:t>
      </w:r>
      <w:r>
        <w:rPr>
          <w:rFonts w:hAnsi="宋体"/>
          <w:kern w:val="0"/>
          <w:sz w:val="24"/>
        </w:rPr>
        <w:t>、每批次供应的最后一车数量由甲方确定，每批次只允许一车装载量小于运输车辆的额定装载量，超过车次按车收取空载费。</w:t>
      </w:r>
    </w:p>
    <w:p>
      <w:pPr>
        <w:tabs>
          <w:tab w:val="left" w:pos="945"/>
        </w:tabs>
        <w:spacing w:line="360" w:lineRule="auto"/>
        <w:ind w:firstLine="480" w:firstLineChars="200"/>
        <w:rPr>
          <w:sz w:val="24"/>
        </w:rPr>
      </w:pPr>
      <w:r>
        <w:rPr>
          <w:sz w:val="24"/>
        </w:rPr>
        <w:t>4</w:t>
      </w:r>
      <w:r>
        <w:rPr>
          <w:rFonts w:hAnsi="宋体"/>
          <w:sz w:val="24"/>
        </w:rPr>
        <w:t>、卸料期限：乙方混凝土送达施工现场后，必须在</w:t>
      </w:r>
      <w:r>
        <w:rPr>
          <w:sz w:val="24"/>
        </w:rPr>
        <w:t>90</w:t>
      </w:r>
      <w:r>
        <w:rPr>
          <w:rFonts w:hAnsi="宋体"/>
          <w:sz w:val="24"/>
        </w:rPr>
        <w:t>分钟内全部卸出搅拌车外。如不能及时卸料，属乙方原因造成的，由乙方承担全部损失，属甲方原因造成的，超过</w:t>
      </w:r>
      <w:r>
        <w:rPr>
          <w:sz w:val="24"/>
        </w:rPr>
        <w:t>90</w:t>
      </w:r>
      <w:r>
        <w:rPr>
          <w:rFonts w:hAnsi="宋体"/>
          <w:sz w:val="24"/>
        </w:rPr>
        <w:t>分钟后每</w:t>
      </w:r>
      <w:r>
        <w:rPr>
          <w:sz w:val="24"/>
        </w:rPr>
        <w:t>30</w:t>
      </w:r>
      <w:r>
        <w:rPr>
          <w:rFonts w:hAnsi="宋体"/>
          <w:sz w:val="24"/>
        </w:rPr>
        <w:t>分钟甲方按每车次向乙方支付</w:t>
      </w:r>
      <w:r>
        <w:rPr>
          <w:sz w:val="24"/>
          <w:u w:val="single"/>
        </w:rPr>
        <w:t xml:space="preserve">    </w:t>
      </w:r>
      <w:r>
        <w:rPr>
          <w:rFonts w:hAnsi="宋体"/>
          <w:sz w:val="24"/>
        </w:rPr>
        <w:t>元车辆台班费。若超过初凝时间造成混凝土报废的，甲方必须签收逾期的全部预拌混凝土，并负责找场地卸出处理。</w:t>
      </w:r>
    </w:p>
    <w:p>
      <w:pPr>
        <w:spacing w:after="156" w:afterLines="50" w:line="360" w:lineRule="auto"/>
        <w:ind w:firstLine="476"/>
        <w:rPr>
          <w:sz w:val="24"/>
        </w:rPr>
      </w:pPr>
      <w:r>
        <w:rPr>
          <w:rFonts w:hAnsi="宋体"/>
          <w:sz w:val="24"/>
        </w:rPr>
        <w:t>八、结算及付款方式</w:t>
      </w:r>
    </w:p>
    <w:p>
      <w:pPr>
        <w:spacing w:after="156" w:afterLines="50" w:line="360" w:lineRule="auto"/>
        <w:ind w:firstLine="476"/>
        <w:rPr>
          <w:sz w:val="24"/>
        </w:rPr>
      </w:pPr>
      <w:r>
        <w:rPr>
          <w:sz w:val="24"/>
        </w:rPr>
        <w:t>1</w:t>
      </w:r>
      <w:r>
        <w:rPr>
          <w:rFonts w:hAnsi="宋体"/>
          <w:sz w:val="24"/>
        </w:rPr>
        <w:t>、每月底甲乙双方按签收的数量进行结算一次。</w:t>
      </w:r>
    </w:p>
    <w:p>
      <w:pPr>
        <w:snapToGrid w:val="0"/>
        <w:spacing w:line="360" w:lineRule="auto"/>
        <w:ind w:firstLine="480" w:firstLineChars="200"/>
        <w:rPr>
          <w:sz w:val="24"/>
        </w:rPr>
      </w:pPr>
      <w:r>
        <w:rPr>
          <w:sz w:val="24"/>
        </w:rPr>
        <w:t>2</w:t>
      </w:r>
      <w:r>
        <w:rPr>
          <w:rFonts w:hAnsi="宋体"/>
          <w:sz w:val="24"/>
        </w:rPr>
        <w:t>、甲、乙双方按以下约定支付货款：</w:t>
      </w:r>
    </w:p>
    <w:p>
      <w:pPr>
        <w:snapToGrid w:val="0"/>
        <w:spacing w:line="360" w:lineRule="auto"/>
        <w:ind w:firstLine="560" w:firstLineChars="200"/>
        <w:rPr>
          <w:rFonts w:eastAsia="黑体"/>
          <w:sz w:val="28"/>
          <w:szCs w:val="28"/>
          <w:u w:val="single"/>
        </w:rPr>
      </w:pPr>
      <w:r>
        <w:rPr>
          <w:rFonts w:eastAsia="黑体"/>
          <w:sz w:val="28"/>
          <w:szCs w:val="28"/>
          <w:u w:val="single"/>
        </w:rPr>
        <w:t xml:space="preserve">                                                          </w:t>
      </w:r>
    </w:p>
    <w:p>
      <w:pPr>
        <w:snapToGrid w:val="0"/>
        <w:spacing w:line="360" w:lineRule="auto"/>
        <w:ind w:firstLine="560" w:firstLineChars="200"/>
        <w:rPr>
          <w:rFonts w:eastAsia="黑体"/>
          <w:sz w:val="28"/>
          <w:szCs w:val="28"/>
          <w:u w:val="single"/>
        </w:rPr>
      </w:pPr>
      <w:r>
        <w:rPr>
          <w:rFonts w:eastAsia="黑体"/>
          <w:sz w:val="28"/>
          <w:szCs w:val="28"/>
          <w:u w:val="single"/>
        </w:rPr>
        <w:t xml:space="preserve">                                                          </w:t>
      </w:r>
    </w:p>
    <w:p>
      <w:pPr>
        <w:snapToGrid w:val="0"/>
        <w:spacing w:line="360" w:lineRule="auto"/>
        <w:ind w:firstLine="560" w:firstLineChars="200"/>
        <w:rPr>
          <w:rFonts w:eastAsia="黑体"/>
          <w:sz w:val="28"/>
          <w:szCs w:val="28"/>
          <w:u w:val="single"/>
        </w:rPr>
      </w:pPr>
      <w:r>
        <w:rPr>
          <w:rFonts w:eastAsia="黑体"/>
          <w:sz w:val="28"/>
          <w:szCs w:val="28"/>
          <w:u w:val="single"/>
        </w:rPr>
        <w:t xml:space="preserve">                                                          </w:t>
      </w:r>
    </w:p>
    <w:p>
      <w:pPr>
        <w:snapToGrid w:val="0"/>
        <w:spacing w:line="360" w:lineRule="auto"/>
        <w:ind w:firstLine="560" w:firstLineChars="200"/>
        <w:rPr>
          <w:rFonts w:eastAsia="黑体"/>
          <w:sz w:val="28"/>
          <w:szCs w:val="28"/>
          <w:u w:val="single"/>
        </w:rPr>
      </w:pPr>
      <w:r>
        <w:rPr>
          <w:rFonts w:eastAsia="黑体"/>
          <w:sz w:val="28"/>
          <w:szCs w:val="28"/>
          <w:u w:val="single"/>
        </w:rPr>
        <w:t xml:space="preserve">                                                          </w:t>
      </w:r>
    </w:p>
    <w:p>
      <w:pPr>
        <w:snapToGrid w:val="0"/>
        <w:spacing w:line="360" w:lineRule="auto"/>
        <w:ind w:firstLine="560" w:firstLineChars="200"/>
        <w:rPr>
          <w:rFonts w:eastAsia="黑体"/>
          <w:sz w:val="28"/>
          <w:szCs w:val="28"/>
          <w:u w:val="single"/>
        </w:rPr>
      </w:pPr>
      <w:r>
        <w:rPr>
          <w:rFonts w:eastAsia="黑体"/>
          <w:sz w:val="28"/>
          <w:szCs w:val="28"/>
          <w:u w:val="single"/>
        </w:rPr>
        <w:t xml:space="preserve">                                                          </w:t>
      </w:r>
    </w:p>
    <w:p>
      <w:pPr>
        <w:snapToGrid w:val="0"/>
        <w:spacing w:line="360" w:lineRule="auto"/>
        <w:ind w:firstLine="480" w:firstLineChars="200"/>
        <w:rPr>
          <w:sz w:val="24"/>
        </w:rPr>
      </w:pPr>
      <w:r>
        <w:rPr>
          <w:sz w:val="24"/>
        </w:rPr>
        <w:t>3</w:t>
      </w:r>
      <w:r>
        <w:rPr>
          <w:rFonts w:hAnsi="宋体"/>
          <w:sz w:val="24"/>
        </w:rPr>
        <w:t>、超过（含）</w:t>
      </w:r>
      <w:r>
        <w:rPr>
          <w:sz w:val="24"/>
          <w:u w:val="single"/>
        </w:rPr>
        <w:t xml:space="preserve">  </w:t>
      </w:r>
      <w:r>
        <w:rPr>
          <w:rFonts w:hAnsi="宋体"/>
          <w:sz w:val="24"/>
        </w:rPr>
        <w:t>天无混凝土供应交易视为工程缓建或停建，从停止浇筑混凝土之日起，甲方必须在</w:t>
      </w:r>
      <w:r>
        <w:rPr>
          <w:sz w:val="24"/>
          <w:u w:val="single"/>
        </w:rPr>
        <w:t xml:space="preserve">  </w:t>
      </w:r>
      <w:r>
        <w:rPr>
          <w:rFonts w:hAnsi="宋体"/>
          <w:sz w:val="24"/>
        </w:rPr>
        <w:t>个月内办理结算并付清所有混凝土货款。</w:t>
      </w:r>
    </w:p>
    <w:p>
      <w:pPr>
        <w:snapToGrid w:val="0"/>
        <w:spacing w:line="360" w:lineRule="auto"/>
        <w:ind w:firstLine="480" w:firstLineChars="200"/>
        <w:rPr>
          <w:sz w:val="24"/>
        </w:rPr>
      </w:pPr>
      <w:r>
        <w:rPr>
          <w:sz w:val="24"/>
        </w:rPr>
        <w:t>4</w:t>
      </w:r>
      <w:r>
        <w:rPr>
          <w:rFonts w:hAnsi="宋体"/>
          <w:sz w:val="24"/>
        </w:rPr>
        <w:t>、如甲方委托非合同单位代付货款给乙方时，甲方应出具委托付款证明书，并经代付单位盖章认可。</w:t>
      </w:r>
    </w:p>
    <w:p>
      <w:pPr>
        <w:snapToGrid w:val="0"/>
        <w:spacing w:line="360" w:lineRule="auto"/>
        <w:ind w:firstLine="480" w:firstLineChars="200"/>
        <w:rPr>
          <w:sz w:val="24"/>
        </w:rPr>
      </w:pPr>
      <w:r>
        <w:rPr>
          <w:sz w:val="24"/>
        </w:rPr>
        <w:t>5</w:t>
      </w:r>
      <w:r>
        <w:rPr>
          <w:rFonts w:hAnsi="宋体"/>
          <w:sz w:val="24"/>
        </w:rPr>
        <w:t>、甲方按签收的数量进行结算，如甲方没有按合同约定办理结算、未在结算单上签字或盖章，则以签收的乙方送货单（发货单）为结算凭证，同时乙方有权停止供货。未经双方授权，擅自改动送货单、结算单的数据或书写其他内容均视为无效。</w:t>
      </w:r>
    </w:p>
    <w:p>
      <w:pPr>
        <w:spacing w:after="156" w:afterLines="50" w:line="360" w:lineRule="auto"/>
        <w:ind w:firstLine="476"/>
        <w:rPr>
          <w:sz w:val="24"/>
        </w:rPr>
      </w:pPr>
      <w:r>
        <w:rPr>
          <w:rFonts w:hAnsi="宋体"/>
          <w:sz w:val="24"/>
        </w:rPr>
        <w:t>九、验收标准及方法</w:t>
      </w:r>
    </w:p>
    <w:p>
      <w:pPr>
        <w:snapToGrid w:val="0"/>
        <w:spacing w:line="360" w:lineRule="auto"/>
        <w:ind w:firstLine="480" w:firstLineChars="200"/>
        <w:rPr>
          <w:sz w:val="24"/>
        </w:rPr>
      </w:pPr>
      <w:r>
        <w:rPr>
          <w:sz w:val="24"/>
        </w:rPr>
        <w:t>1</w:t>
      </w:r>
      <w:r>
        <w:rPr>
          <w:rFonts w:hAnsi="宋体"/>
          <w:sz w:val="24"/>
        </w:rPr>
        <w:t>、按下列</w:t>
      </w:r>
      <w:r>
        <w:rPr>
          <w:rFonts w:hAnsi="宋体"/>
          <w:kern w:val="0"/>
          <w:sz w:val="24"/>
        </w:rPr>
        <w:t>有关标准、规程的要求验收：</w:t>
      </w:r>
    </w:p>
    <w:p>
      <w:pPr>
        <w:tabs>
          <w:tab w:val="left" w:pos="945"/>
        </w:tabs>
        <w:spacing w:line="360" w:lineRule="auto"/>
        <w:ind w:firstLine="480" w:firstLineChars="200"/>
        <w:rPr>
          <w:kern w:val="0"/>
          <w:sz w:val="24"/>
        </w:rPr>
      </w:pPr>
      <w:r>
        <w:rPr>
          <w:rFonts w:hAnsi="宋体"/>
          <w:kern w:val="0"/>
          <w:sz w:val="24"/>
        </w:rPr>
        <w:t>（</w:t>
      </w:r>
      <w:r>
        <w:rPr>
          <w:kern w:val="0"/>
          <w:sz w:val="24"/>
        </w:rPr>
        <w:t>1</w:t>
      </w:r>
      <w:r>
        <w:rPr>
          <w:rFonts w:hAnsi="宋体"/>
          <w:kern w:val="0"/>
          <w:sz w:val="24"/>
        </w:rPr>
        <w:t>）</w:t>
      </w:r>
      <w:r>
        <w:rPr>
          <w:kern w:val="0"/>
          <w:sz w:val="24"/>
        </w:rPr>
        <w:t>GB</w:t>
      </w:r>
      <w:r>
        <w:rPr>
          <w:rFonts w:hAnsi="宋体"/>
          <w:kern w:val="0"/>
          <w:sz w:val="24"/>
        </w:rPr>
        <w:t>／</w:t>
      </w:r>
      <w:r>
        <w:rPr>
          <w:kern w:val="0"/>
          <w:sz w:val="24"/>
        </w:rPr>
        <w:t>T14902-2003</w:t>
      </w:r>
      <w:r>
        <w:rPr>
          <w:rFonts w:hAnsi="宋体"/>
          <w:kern w:val="0"/>
          <w:sz w:val="24"/>
        </w:rPr>
        <w:t>《预拌混凝土》；</w:t>
      </w:r>
    </w:p>
    <w:p>
      <w:pPr>
        <w:tabs>
          <w:tab w:val="left" w:pos="945"/>
        </w:tabs>
        <w:spacing w:line="360" w:lineRule="auto"/>
        <w:ind w:firstLine="480" w:firstLineChars="200"/>
        <w:rPr>
          <w:kern w:val="0"/>
          <w:sz w:val="24"/>
        </w:rPr>
      </w:pPr>
      <w:r>
        <w:rPr>
          <w:rFonts w:hAnsi="宋体"/>
          <w:kern w:val="0"/>
          <w:sz w:val="24"/>
        </w:rPr>
        <w:t>（</w:t>
      </w:r>
      <w:r>
        <w:rPr>
          <w:kern w:val="0"/>
          <w:sz w:val="24"/>
        </w:rPr>
        <w:t>2</w:t>
      </w:r>
      <w:r>
        <w:rPr>
          <w:rFonts w:hAnsi="宋体"/>
          <w:kern w:val="0"/>
          <w:sz w:val="24"/>
        </w:rPr>
        <w:t>）</w:t>
      </w:r>
      <w:r>
        <w:rPr>
          <w:kern w:val="0"/>
          <w:sz w:val="24"/>
        </w:rPr>
        <w:t>GB</w:t>
      </w:r>
      <w:r>
        <w:rPr>
          <w:rFonts w:hAnsi="宋体"/>
          <w:kern w:val="0"/>
          <w:sz w:val="24"/>
        </w:rPr>
        <w:t>／</w:t>
      </w:r>
      <w:r>
        <w:rPr>
          <w:kern w:val="0"/>
          <w:sz w:val="24"/>
        </w:rPr>
        <w:t>T50107-2010</w:t>
      </w:r>
      <w:r>
        <w:rPr>
          <w:rFonts w:hAnsi="宋体"/>
          <w:kern w:val="0"/>
          <w:sz w:val="24"/>
        </w:rPr>
        <w:t>《混凝土强度检验评定标准》；</w:t>
      </w:r>
    </w:p>
    <w:p>
      <w:pPr>
        <w:tabs>
          <w:tab w:val="left" w:pos="945"/>
        </w:tabs>
        <w:spacing w:line="360" w:lineRule="auto"/>
        <w:ind w:firstLine="480" w:firstLineChars="200"/>
        <w:rPr>
          <w:kern w:val="0"/>
          <w:sz w:val="24"/>
        </w:rPr>
      </w:pPr>
      <w:r>
        <w:rPr>
          <w:rFonts w:hAnsi="宋体"/>
          <w:kern w:val="0"/>
          <w:sz w:val="24"/>
        </w:rPr>
        <w:t>（</w:t>
      </w:r>
      <w:r>
        <w:rPr>
          <w:kern w:val="0"/>
          <w:sz w:val="24"/>
        </w:rPr>
        <w:t>3</w:t>
      </w:r>
      <w:r>
        <w:rPr>
          <w:rFonts w:hAnsi="宋体"/>
          <w:kern w:val="0"/>
          <w:sz w:val="24"/>
        </w:rPr>
        <w:t>）</w:t>
      </w:r>
      <w:r>
        <w:rPr>
          <w:kern w:val="0"/>
          <w:sz w:val="24"/>
        </w:rPr>
        <w:t>GB</w:t>
      </w:r>
      <w:r>
        <w:rPr>
          <w:rFonts w:hAnsi="宋体"/>
          <w:kern w:val="0"/>
          <w:sz w:val="24"/>
        </w:rPr>
        <w:t>／</w:t>
      </w:r>
      <w:r>
        <w:rPr>
          <w:kern w:val="0"/>
          <w:sz w:val="24"/>
        </w:rPr>
        <w:t>T50082-2009</w:t>
      </w:r>
      <w:r>
        <w:rPr>
          <w:rFonts w:hAnsi="宋体"/>
          <w:kern w:val="0"/>
          <w:sz w:val="24"/>
        </w:rPr>
        <w:t>《普通混凝土长期性能和耐久性能试验方法》；</w:t>
      </w:r>
    </w:p>
    <w:p>
      <w:pPr>
        <w:tabs>
          <w:tab w:val="left" w:pos="945"/>
        </w:tabs>
        <w:spacing w:line="360" w:lineRule="auto"/>
        <w:ind w:firstLine="480" w:firstLineChars="200"/>
        <w:rPr>
          <w:kern w:val="0"/>
          <w:sz w:val="24"/>
        </w:rPr>
      </w:pPr>
      <w:r>
        <w:rPr>
          <w:rFonts w:hAnsi="宋体"/>
          <w:kern w:val="0"/>
          <w:sz w:val="24"/>
        </w:rPr>
        <w:t>（</w:t>
      </w:r>
      <w:r>
        <w:rPr>
          <w:kern w:val="0"/>
          <w:sz w:val="24"/>
        </w:rPr>
        <w:t>4</w:t>
      </w:r>
      <w:r>
        <w:rPr>
          <w:rFonts w:hAnsi="宋体"/>
          <w:kern w:val="0"/>
          <w:sz w:val="24"/>
        </w:rPr>
        <w:t>）</w:t>
      </w:r>
      <w:r>
        <w:rPr>
          <w:kern w:val="0"/>
          <w:sz w:val="24"/>
        </w:rPr>
        <w:t>GB50164-2011</w:t>
      </w:r>
      <w:r>
        <w:rPr>
          <w:rFonts w:hAnsi="宋体"/>
          <w:kern w:val="0"/>
          <w:sz w:val="24"/>
        </w:rPr>
        <w:t>《混凝土质量控制标准》；</w:t>
      </w:r>
    </w:p>
    <w:p>
      <w:pPr>
        <w:tabs>
          <w:tab w:val="left" w:pos="945"/>
        </w:tabs>
        <w:spacing w:line="360" w:lineRule="auto"/>
        <w:ind w:firstLine="480" w:firstLineChars="200"/>
        <w:rPr>
          <w:kern w:val="0"/>
          <w:sz w:val="24"/>
        </w:rPr>
      </w:pPr>
      <w:r>
        <w:rPr>
          <w:rFonts w:hAnsi="宋体"/>
          <w:kern w:val="0"/>
          <w:sz w:val="24"/>
        </w:rPr>
        <w:t>（</w:t>
      </w:r>
      <w:r>
        <w:rPr>
          <w:kern w:val="0"/>
          <w:sz w:val="24"/>
        </w:rPr>
        <w:t>5</w:t>
      </w:r>
      <w:r>
        <w:rPr>
          <w:rFonts w:hAnsi="宋体"/>
          <w:kern w:val="0"/>
          <w:sz w:val="24"/>
        </w:rPr>
        <w:t>）</w:t>
      </w:r>
      <w:r>
        <w:rPr>
          <w:kern w:val="0"/>
          <w:sz w:val="24"/>
        </w:rPr>
        <w:t>JGJ55-2011</w:t>
      </w:r>
      <w:r>
        <w:rPr>
          <w:rFonts w:hAnsi="宋体"/>
          <w:kern w:val="0"/>
          <w:sz w:val="24"/>
        </w:rPr>
        <w:t>《普通混凝土配合比设计规程》；</w:t>
      </w:r>
    </w:p>
    <w:p>
      <w:pPr>
        <w:tabs>
          <w:tab w:val="left" w:pos="945"/>
        </w:tabs>
        <w:spacing w:line="360" w:lineRule="auto"/>
        <w:ind w:firstLine="480" w:firstLineChars="200"/>
        <w:rPr>
          <w:kern w:val="0"/>
          <w:sz w:val="24"/>
        </w:rPr>
      </w:pPr>
      <w:r>
        <w:rPr>
          <w:rFonts w:hAnsi="宋体"/>
          <w:kern w:val="0"/>
          <w:sz w:val="24"/>
        </w:rPr>
        <w:t>（</w:t>
      </w:r>
      <w:r>
        <w:rPr>
          <w:kern w:val="0"/>
          <w:sz w:val="24"/>
        </w:rPr>
        <w:t>6</w:t>
      </w:r>
      <w:r>
        <w:rPr>
          <w:rFonts w:hAnsi="宋体"/>
          <w:kern w:val="0"/>
          <w:sz w:val="24"/>
        </w:rPr>
        <w:t>）</w:t>
      </w:r>
      <w:r>
        <w:rPr>
          <w:kern w:val="0"/>
          <w:sz w:val="24"/>
        </w:rPr>
        <w:t>GB50204-2002</w:t>
      </w:r>
      <w:r>
        <w:rPr>
          <w:rFonts w:hAnsi="宋体"/>
          <w:kern w:val="0"/>
          <w:sz w:val="24"/>
        </w:rPr>
        <w:t>（</w:t>
      </w:r>
      <w:r>
        <w:rPr>
          <w:kern w:val="0"/>
          <w:sz w:val="24"/>
        </w:rPr>
        <w:t>2011</w:t>
      </w:r>
      <w:r>
        <w:rPr>
          <w:rFonts w:hAnsi="宋体"/>
          <w:kern w:val="0"/>
          <w:sz w:val="24"/>
        </w:rPr>
        <w:t>版）《混凝土结构工程施工质量验收规范》。</w:t>
      </w:r>
    </w:p>
    <w:p>
      <w:pPr>
        <w:snapToGrid w:val="0"/>
        <w:spacing w:line="360" w:lineRule="auto"/>
        <w:ind w:firstLine="480" w:firstLineChars="200"/>
        <w:rPr>
          <w:sz w:val="24"/>
        </w:rPr>
      </w:pPr>
      <w:r>
        <w:rPr>
          <w:sz w:val="24"/>
        </w:rPr>
        <w:t>2</w:t>
      </w:r>
      <w:r>
        <w:rPr>
          <w:rFonts w:hAnsi="宋体"/>
          <w:sz w:val="24"/>
        </w:rPr>
        <w:t>、验收方法：以现场交货入泵前取样检验结果作为判定混凝土质量依据。具体做法为：由甲方持证试验员在交货地点按照</w:t>
      </w:r>
      <w:r>
        <w:rPr>
          <w:sz w:val="24"/>
        </w:rPr>
        <w:t>GB/T14902-2003</w:t>
      </w:r>
      <w:r>
        <w:rPr>
          <w:rFonts w:hAnsi="宋体"/>
          <w:sz w:val="24"/>
        </w:rPr>
        <w:t>《预拌混凝土》的要求制作试块，取样前通知监理和乙方试验人员到场确认，在搅拌车卸料过程中在卸料量的</w:t>
      </w:r>
      <w:r>
        <w:rPr>
          <w:sz w:val="24"/>
        </w:rPr>
        <w:t>1/4</w:t>
      </w:r>
      <w:r>
        <w:rPr>
          <w:rFonts w:hAnsi="宋体"/>
          <w:sz w:val="24"/>
        </w:rPr>
        <w:t>至</w:t>
      </w:r>
      <w:r>
        <w:rPr>
          <w:sz w:val="24"/>
        </w:rPr>
        <w:t>3/4</w:t>
      </w:r>
      <w:r>
        <w:rPr>
          <w:rFonts w:hAnsi="宋体"/>
          <w:sz w:val="24"/>
        </w:rPr>
        <w:t>之间进行，且应在混凝土到达现场</w:t>
      </w:r>
      <w:r>
        <w:rPr>
          <w:sz w:val="24"/>
        </w:rPr>
        <w:t>20</w:t>
      </w:r>
      <w:r>
        <w:rPr>
          <w:rFonts w:hAnsi="宋体"/>
          <w:sz w:val="24"/>
        </w:rPr>
        <w:t>分钟内完成。坍落度检测应在混凝土运到交货地点后</w:t>
      </w:r>
      <w:r>
        <w:rPr>
          <w:sz w:val="24"/>
        </w:rPr>
        <w:t>20</w:t>
      </w:r>
      <w:r>
        <w:rPr>
          <w:rFonts w:hAnsi="宋体"/>
          <w:sz w:val="24"/>
        </w:rPr>
        <w:t>分钟内完成，坍落度控制值按</w:t>
      </w:r>
      <w:r>
        <w:rPr>
          <w:sz w:val="24"/>
        </w:rPr>
        <w:t>GB/T14902-2003</w:t>
      </w:r>
      <w:r>
        <w:rPr>
          <w:rFonts w:hAnsi="宋体"/>
          <w:sz w:val="24"/>
        </w:rPr>
        <w:t>《预拌混凝土》混凝土坍落度实测值与规定的坍落度之差值：</w:t>
      </w:r>
      <w:r>
        <w:rPr>
          <w:sz w:val="24"/>
        </w:rPr>
        <w:t>50</w:t>
      </w:r>
      <w:r>
        <w:rPr>
          <w:rFonts w:hAnsi="宋体"/>
          <w:sz w:val="24"/>
        </w:rPr>
        <w:t>～</w:t>
      </w:r>
      <w:r>
        <w:rPr>
          <w:sz w:val="24"/>
        </w:rPr>
        <w:t>90mm</w:t>
      </w:r>
      <w:r>
        <w:rPr>
          <w:rFonts w:hAnsi="宋体"/>
          <w:sz w:val="24"/>
        </w:rPr>
        <w:t>坍落度允许偏差</w:t>
      </w:r>
      <w:r>
        <w:rPr>
          <w:sz w:val="24"/>
        </w:rPr>
        <w:t>±20mm</w:t>
      </w:r>
      <w:r>
        <w:rPr>
          <w:rFonts w:hAnsi="宋体"/>
          <w:sz w:val="24"/>
        </w:rPr>
        <w:t>，</w:t>
      </w:r>
      <w:r>
        <w:rPr>
          <w:sz w:val="24"/>
        </w:rPr>
        <w:t>≥100mm</w:t>
      </w:r>
      <w:r>
        <w:rPr>
          <w:rFonts w:hAnsi="宋体"/>
          <w:sz w:val="24"/>
        </w:rPr>
        <w:t>坍落度允许偏差</w:t>
      </w:r>
      <w:r>
        <w:rPr>
          <w:sz w:val="24"/>
        </w:rPr>
        <w:t>±30mm</w:t>
      </w:r>
      <w:r>
        <w:rPr>
          <w:rFonts w:hAnsi="宋体"/>
          <w:sz w:val="24"/>
        </w:rPr>
        <w:t>。其试块要按规范标准养护，抽样的模具及送检费用由甲方承担。</w:t>
      </w:r>
    </w:p>
    <w:p>
      <w:pPr>
        <w:snapToGrid w:val="0"/>
        <w:spacing w:line="360" w:lineRule="auto"/>
        <w:ind w:firstLine="480" w:firstLineChars="200"/>
        <w:rPr>
          <w:sz w:val="24"/>
        </w:rPr>
      </w:pPr>
      <w:r>
        <w:rPr>
          <w:sz w:val="24"/>
        </w:rPr>
        <w:t>3</w:t>
      </w:r>
      <w:r>
        <w:rPr>
          <w:rFonts w:hAnsi="宋体"/>
          <w:sz w:val="24"/>
        </w:rPr>
        <w:t>、验收评定方法：混凝土强度或抗渗评定分别按</w:t>
      </w:r>
      <w:r>
        <w:rPr>
          <w:sz w:val="24"/>
        </w:rPr>
        <w:t>GB/T50107-2010</w:t>
      </w:r>
      <w:r>
        <w:rPr>
          <w:rFonts w:hAnsi="宋体"/>
          <w:kern w:val="0"/>
          <w:sz w:val="24"/>
        </w:rPr>
        <w:t>《混凝土强度检验评定标准》</w:t>
      </w:r>
      <w:r>
        <w:rPr>
          <w:rFonts w:hAnsi="宋体"/>
          <w:sz w:val="24"/>
        </w:rPr>
        <w:t>和</w:t>
      </w:r>
      <w:r>
        <w:rPr>
          <w:sz w:val="24"/>
        </w:rPr>
        <w:t>GB/T50082-2009</w:t>
      </w:r>
      <w:r>
        <w:rPr>
          <w:rFonts w:hAnsi="宋体"/>
          <w:kern w:val="0"/>
          <w:sz w:val="24"/>
        </w:rPr>
        <w:t>《普通混凝土长期性能和耐久性能试验方法》</w:t>
      </w:r>
      <w:r>
        <w:rPr>
          <w:rFonts w:hAnsi="宋体"/>
          <w:sz w:val="24"/>
        </w:rPr>
        <w:t>的规定进行。如混凝土的试块经检测单位试验出现不合格的，甲方应在试块达到龄期后的三日内通知乙方前往检测单位了解情况并确认结果，超过试块龄期三日内未接到有关试块强度问题的通知则视为合格，一切责任由甲方负责。经确认的试块检验结果评定为不合格，则经双方认可的有资质的检测单位进行鉴定。已确认因乙方原因造成混凝土强度或抗渗等级达不到合同要求，因此而造成的直接经济损失由乙方负责赔偿和支付鉴定费，属甲方原因由甲方负责。乙方向甲方提供预拌混凝土资料一式三份。</w:t>
      </w:r>
      <w:r>
        <w:rPr>
          <w:sz w:val="24"/>
        </w:rPr>
        <w:t xml:space="preserve"> </w:t>
      </w:r>
    </w:p>
    <w:p>
      <w:pPr>
        <w:snapToGrid w:val="0"/>
        <w:spacing w:line="360" w:lineRule="auto"/>
        <w:ind w:firstLine="480" w:firstLineChars="200"/>
        <w:rPr>
          <w:sz w:val="24"/>
        </w:rPr>
      </w:pPr>
      <w:r>
        <w:rPr>
          <w:rFonts w:hAnsi="宋体"/>
          <w:sz w:val="24"/>
        </w:rPr>
        <w:t>十、乙方混凝土送达施工现场后，甲方不能往混凝土中加入任何物质，否则乙方不承担该批次混凝土的质量责任。</w:t>
      </w:r>
    </w:p>
    <w:p>
      <w:pPr>
        <w:spacing w:after="156" w:afterLines="50" w:line="360" w:lineRule="auto"/>
        <w:ind w:firstLine="476"/>
        <w:rPr>
          <w:sz w:val="24"/>
        </w:rPr>
      </w:pPr>
      <w:r>
        <w:rPr>
          <w:rFonts w:hAnsi="宋体"/>
          <w:sz w:val="24"/>
        </w:rPr>
        <w:t>十一、双方责任</w:t>
      </w:r>
    </w:p>
    <w:p>
      <w:pPr>
        <w:snapToGrid w:val="0"/>
        <w:spacing w:line="360" w:lineRule="auto"/>
        <w:ind w:firstLine="480" w:firstLineChars="200"/>
        <w:rPr>
          <w:sz w:val="24"/>
        </w:rPr>
      </w:pPr>
      <w:r>
        <w:rPr>
          <w:sz w:val="24"/>
        </w:rPr>
        <w:t>1</w:t>
      </w:r>
      <w:r>
        <w:rPr>
          <w:rFonts w:hAnsi="宋体"/>
          <w:sz w:val="24"/>
        </w:rPr>
        <w:t>、可泵混凝土泵送时，由乙方负责将甲方订货的各种强度等级的可泵混凝土泵送至甲方现场管理人员指定的施工部位（桩基础除外）。两种不同强度等级以上的混凝土同时进行泵送施工时，不同强度等级的混凝土入模部位由甲方负责控制，乙方负责现场布管及卸管，但布管所需的架子及马凳等物料由甲方负责，并为乙方提供塔吊配合泵管的安装与拆除。固定泵送管的架子由甲方架设及加固，并确保满足混凝土泵送施工的安全要求。</w:t>
      </w:r>
    </w:p>
    <w:p>
      <w:pPr>
        <w:snapToGrid w:val="0"/>
        <w:spacing w:line="360" w:lineRule="auto"/>
        <w:ind w:firstLine="480" w:firstLineChars="200"/>
        <w:rPr>
          <w:sz w:val="24"/>
        </w:rPr>
      </w:pPr>
      <w:r>
        <w:rPr>
          <w:sz w:val="24"/>
        </w:rPr>
        <w:t>2</w:t>
      </w:r>
      <w:r>
        <w:rPr>
          <w:rFonts w:hAnsi="宋体"/>
          <w:sz w:val="24"/>
        </w:rPr>
        <w:t>、甲方负责布料及振捣，并协助处理每次混凝土浇筑完成后泵机剩余的混凝土。</w:t>
      </w:r>
    </w:p>
    <w:p>
      <w:pPr>
        <w:snapToGrid w:val="0"/>
        <w:spacing w:line="360" w:lineRule="auto"/>
        <w:ind w:firstLine="480" w:firstLineChars="200"/>
        <w:rPr>
          <w:sz w:val="24"/>
        </w:rPr>
      </w:pPr>
      <w:r>
        <w:rPr>
          <w:sz w:val="24"/>
        </w:rPr>
        <w:t>3</w:t>
      </w:r>
      <w:r>
        <w:rPr>
          <w:rFonts w:hAnsi="宋体"/>
          <w:sz w:val="24"/>
        </w:rPr>
        <w:t>、供货前甲方应清理出满足乙方车辆行走的道路，甲方办理特殊区域通行、占道及夜间施工审批手续。做好现场管理工作，保证工地内道路畅通、安全；负责提供水电及照明，确保满足施工要求；在交货地点设立标志，安排专人指挥车辆；甲方负责在工地出口处设立洗车平台并配备专人清洗车辆，确保乙方车辆轮胎不带泥沙出工地，否则，承担由此引发的相关部门对乙方车辆等设备的罚款；甲方事前通知乙方进场察看，乙方确认以上条件成熟后方能进场。因道路或工作环境不良，影响搅拌车通行安全或泵送设备施工安全时，乙方有权拒绝送货。</w:t>
      </w:r>
    </w:p>
    <w:p>
      <w:pPr>
        <w:snapToGrid w:val="0"/>
        <w:spacing w:line="360" w:lineRule="auto"/>
        <w:ind w:firstLine="480" w:firstLineChars="200"/>
        <w:rPr>
          <w:sz w:val="24"/>
        </w:rPr>
      </w:pPr>
      <w:r>
        <w:rPr>
          <w:sz w:val="24"/>
        </w:rPr>
        <w:t>4</w:t>
      </w:r>
      <w:r>
        <w:rPr>
          <w:rFonts w:hAnsi="宋体"/>
          <w:sz w:val="24"/>
        </w:rPr>
        <w:t>、甲方施工现场环境及安全设施必须符合国家及各级政府有关安全生产和文明施工法规的要求。</w:t>
      </w:r>
    </w:p>
    <w:p>
      <w:pPr>
        <w:snapToGrid w:val="0"/>
        <w:spacing w:line="360" w:lineRule="auto"/>
        <w:ind w:firstLine="480" w:firstLineChars="200"/>
        <w:rPr>
          <w:sz w:val="24"/>
        </w:rPr>
      </w:pPr>
      <w:r>
        <w:rPr>
          <w:sz w:val="24"/>
        </w:rPr>
        <w:t>5</w:t>
      </w:r>
      <w:r>
        <w:rPr>
          <w:rFonts w:hAnsi="宋体"/>
          <w:sz w:val="24"/>
        </w:rPr>
        <w:t>、甲方在开始供货前应提供详细施工进度计划给乙方，以便乙方安排生产及运输。</w:t>
      </w:r>
    </w:p>
    <w:p>
      <w:pPr>
        <w:snapToGrid w:val="0"/>
        <w:spacing w:line="360" w:lineRule="auto"/>
        <w:ind w:firstLine="480" w:firstLineChars="200"/>
        <w:rPr>
          <w:sz w:val="24"/>
        </w:rPr>
      </w:pPr>
      <w:r>
        <w:rPr>
          <w:sz w:val="24"/>
        </w:rPr>
        <w:t>6</w:t>
      </w:r>
      <w:r>
        <w:rPr>
          <w:rFonts w:hAnsi="宋体"/>
          <w:sz w:val="24"/>
        </w:rPr>
        <w:t>、甲方在施工过程中部分采用现场搅拌混凝土时，则乙方不再承担本工程混凝土的成品质量责任，并有权停止供货及终止合同。</w:t>
      </w:r>
    </w:p>
    <w:p>
      <w:pPr>
        <w:spacing w:after="156" w:afterLines="50" w:line="360" w:lineRule="auto"/>
        <w:ind w:firstLine="476"/>
        <w:rPr>
          <w:sz w:val="24"/>
        </w:rPr>
      </w:pPr>
      <w:r>
        <w:rPr>
          <w:rFonts w:hAnsi="宋体"/>
          <w:sz w:val="24"/>
        </w:rPr>
        <w:t>十二、违约责任：</w:t>
      </w:r>
    </w:p>
    <w:p>
      <w:pPr>
        <w:snapToGrid w:val="0"/>
        <w:spacing w:line="360" w:lineRule="auto"/>
        <w:ind w:firstLine="480" w:firstLineChars="200"/>
        <w:rPr>
          <w:sz w:val="24"/>
        </w:rPr>
      </w:pPr>
      <w:r>
        <w:rPr>
          <w:sz w:val="24"/>
        </w:rPr>
        <w:t>1</w:t>
      </w:r>
      <w:r>
        <w:rPr>
          <w:rFonts w:hAnsi="宋体"/>
          <w:sz w:val="24"/>
        </w:rPr>
        <w:t>、双方如有违约，违约方应按《合同法》规定承担违约责任。</w:t>
      </w:r>
    </w:p>
    <w:p>
      <w:pPr>
        <w:snapToGrid w:val="0"/>
        <w:spacing w:line="360" w:lineRule="auto"/>
        <w:ind w:firstLine="480" w:firstLineChars="200"/>
        <w:rPr>
          <w:sz w:val="24"/>
        </w:rPr>
      </w:pPr>
      <w:r>
        <w:rPr>
          <w:sz w:val="24"/>
        </w:rPr>
        <w:t>2</w:t>
      </w:r>
      <w:r>
        <w:rPr>
          <w:rFonts w:hAnsi="宋体"/>
          <w:sz w:val="24"/>
        </w:rPr>
        <w:t>、合同签订立后，甲方中途无故单方面解除合同或乙方中途无故单方面解除合同，应向对方支付合同规定预计总价款</w:t>
      </w:r>
      <w:r>
        <w:rPr>
          <w:sz w:val="24"/>
          <w:u w:val="single"/>
        </w:rPr>
        <w:t xml:space="preserve">   </w:t>
      </w:r>
      <w:r>
        <w:rPr>
          <w:sz w:val="24"/>
        </w:rPr>
        <w:t>%</w:t>
      </w:r>
      <w:r>
        <w:rPr>
          <w:rFonts w:hAnsi="宋体"/>
          <w:sz w:val="24"/>
        </w:rPr>
        <w:t>的违约金。</w:t>
      </w:r>
    </w:p>
    <w:p>
      <w:pPr>
        <w:spacing w:after="156" w:afterLines="50" w:line="360" w:lineRule="auto"/>
        <w:ind w:firstLine="476"/>
        <w:rPr>
          <w:sz w:val="24"/>
        </w:rPr>
      </w:pPr>
      <w:r>
        <w:rPr>
          <w:rFonts w:hAnsi="宋体"/>
          <w:sz w:val="24"/>
        </w:rPr>
        <w:t>十三、其他约定事项</w:t>
      </w:r>
    </w:p>
    <w:p>
      <w:pPr>
        <w:snapToGrid w:val="0"/>
        <w:spacing w:line="360" w:lineRule="auto"/>
        <w:ind w:firstLine="480" w:firstLineChars="200"/>
        <w:rPr>
          <w:sz w:val="24"/>
        </w:rPr>
      </w:pPr>
      <w:r>
        <w:rPr>
          <w:sz w:val="24"/>
        </w:rPr>
        <w:t>1</w:t>
      </w:r>
      <w:r>
        <w:rPr>
          <w:rFonts w:hAnsi="宋体"/>
          <w:sz w:val="24"/>
        </w:rPr>
        <w:t>、签订本合同前，甲、乙双方应互相提供加盖公章的营业执照复印件。本合同签订后，甲方不得再与其他混凝土供应商签订该工程的混凝土采购合同。</w:t>
      </w:r>
    </w:p>
    <w:p>
      <w:pPr>
        <w:snapToGrid w:val="0"/>
        <w:spacing w:line="360" w:lineRule="auto"/>
        <w:ind w:firstLine="480" w:firstLineChars="200"/>
        <w:rPr>
          <w:sz w:val="24"/>
        </w:rPr>
      </w:pPr>
      <w:r>
        <w:rPr>
          <w:sz w:val="24"/>
        </w:rPr>
        <w:t>2</w:t>
      </w:r>
      <w:r>
        <w:rPr>
          <w:rFonts w:hAnsi="宋体"/>
          <w:sz w:val="24"/>
        </w:rPr>
        <w:t>、乙方开具税务部门规定的普通发票给甲方；乙方向甲方所提供的发票不作为甲方已付款项的凭证。甲方使用转账支票或网上银行支付混凝土货款时，需在</w:t>
      </w:r>
      <w:r>
        <w:rPr>
          <w:sz w:val="24"/>
        </w:rPr>
        <w:t>“</w:t>
      </w:r>
      <w:r>
        <w:rPr>
          <w:rFonts w:hAnsi="宋体"/>
          <w:sz w:val="24"/>
        </w:rPr>
        <w:t>用途</w:t>
      </w:r>
      <w:r>
        <w:rPr>
          <w:sz w:val="24"/>
        </w:rPr>
        <w:t>”</w:t>
      </w:r>
      <w:r>
        <w:rPr>
          <w:rFonts w:hAnsi="宋体"/>
          <w:sz w:val="24"/>
        </w:rPr>
        <w:t>栏注明工程名称。</w:t>
      </w:r>
    </w:p>
    <w:p>
      <w:pPr>
        <w:snapToGrid w:val="0"/>
        <w:spacing w:line="360" w:lineRule="auto"/>
        <w:ind w:firstLine="480" w:firstLineChars="200"/>
        <w:rPr>
          <w:sz w:val="24"/>
          <w:u w:val="single"/>
        </w:rPr>
      </w:pPr>
      <w:r>
        <w:rPr>
          <w:sz w:val="24"/>
        </w:rPr>
        <w:t>3</w:t>
      </w:r>
      <w:r>
        <w:rPr>
          <w:rFonts w:hAnsi="宋体"/>
          <w:sz w:val="24"/>
        </w:rPr>
        <w:t>、</w:t>
      </w:r>
      <w:r>
        <w:rPr>
          <w:sz w:val="24"/>
          <w:u w:val="single"/>
        </w:rPr>
        <w:t xml:space="preserve">                                                                 </w:t>
      </w:r>
    </w:p>
    <w:p>
      <w:pPr>
        <w:snapToGrid w:val="0"/>
        <w:spacing w:line="360" w:lineRule="auto"/>
        <w:rPr>
          <w:sz w:val="24"/>
          <w:u w:val="single"/>
        </w:rPr>
      </w:pPr>
      <w:r>
        <w:rPr>
          <w:sz w:val="24"/>
          <w:u w:val="single"/>
        </w:rPr>
        <w:t xml:space="preserve">                                                                        </w:t>
      </w:r>
    </w:p>
    <w:p>
      <w:pPr>
        <w:snapToGrid w:val="0"/>
        <w:spacing w:line="360" w:lineRule="auto"/>
        <w:ind w:firstLine="480"/>
        <w:rPr>
          <w:sz w:val="24"/>
          <w:u w:val="single"/>
        </w:rPr>
      </w:pPr>
      <w:r>
        <w:rPr>
          <w:sz w:val="24"/>
        </w:rPr>
        <w:t>4</w:t>
      </w:r>
      <w:r>
        <w:rPr>
          <w:rFonts w:hAnsi="宋体"/>
          <w:sz w:val="24"/>
        </w:rPr>
        <w:t>、</w:t>
      </w:r>
      <w:r>
        <w:rPr>
          <w:sz w:val="24"/>
          <w:u w:val="single"/>
        </w:rPr>
        <w:t xml:space="preserve">                                                                 </w:t>
      </w:r>
    </w:p>
    <w:p>
      <w:pPr>
        <w:snapToGrid w:val="0"/>
        <w:spacing w:line="360" w:lineRule="auto"/>
        <w:rPr>
          <w:sz w:val="24"/>
          <w:u w:val="single"/>
        </w:rPr>
      </w:pPr>
      <w:r>
        <w:rPr>
          <w:sz w:val="24"/>
          <w:u w:val="single"/>
        </w:rPr>
        <w:t xml:space="preserve">                                                                        </w:t>
      </w:r>
    </w:p>
    <w:p>
      <w:pPr>
        <w:spacing w:after="156" w:afterLines="50" w:line="360" w:lineRule="auto"/>
        <w:ind w:firstLine="476"/>
        <w:rPr>
          <w:sz w:val="24"/>
        </w:rPr>
      </w:pPr>
      <w:r>
        <w:rPr>
          <w:rFonts w:hAnsi="宋体"/>
          <w:sz w:val="24"/>
        </w:rPr>
        <w:t>十四、本合同未尽事宜，双方另行协商解决。如发生纠纷，在协商未果的情况下，可向乙方住所地人民法院提起诉讼。</w:t>
      </w:r>
    </w:p>
    <w:p>
      <w:pPr>
        <w:spacing w:after="156" w:afterLines="50" w:line="360" w:lineRule="auto"/>
        <w:ind w:firstLine="476"/>
        <w:rPr>
          <w:sz w:val="24"/>
        </w:rPr>
      </w:pPr>
      <w:r>
        <w:rPr>
          <w:rFonts w:hAnsi="宋体"/>
          <w:sz w:val="24"/>
        </w:rPr>
        <w:t>十五、本合同一式四份，甲乙双方各执两份，具有同等法律效力。本合同经甲、乙双方法定代表人（负责人）或授权代理人签字并加盖公章后生效，本合同有效期为：双方代表签字之日起至本工程结束并付清货款之日止。</w:t>
      </w:r>
    </w:p>
    <w:p>
      <w:pPr>
        <w:spacing w:line="360" w:lineRule="auto"/>
        <w:ind w:left="975" w:leftChars="171" w:hanging="616" w:hangingChars="257"/>
        <w:rPr>
          <w:sz w:val="24"/>
        </w:rPr>
      </w:pPr>
    </w:p>
    <w:tbl>
      <w:tblPr>
        <w:tblStyle w:val="6"/>
        <w:tblpPr w:leftFromText="180" w:rightFromText="180" w:vertAnchor="text" w:tblpXSpec="center" w:tblpY="1"/>
        <w:tblOverlap w:val="never"/>
        <w:tblW w:w="9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4500" w:type="dxa"/>
            <w:noWrap w:val="0"/>
            <w:vAlign w:val="top"/>
          </w:tcPr>
          <w:p>
            <w:pPr>
              <w:snapToGrid w:val="0"/>
              <w:spacing w:line="360" w:lineRule="auto"/>
              <w:jc w:val="center"/>
              <w:rPr>
                <w:sz w:val="24"/>
              </w:rPr>
            </w:pPr>
            <w:r>
              <w:rPr>
                <w:rFonts w:hAnsi="宋体"/>
                <w:sz w:val="24"/>
              </w:rPr>
              <w:t>甲</w:t>
            </w:r>
            <w:r>
              <w:rPr>
                <w:sz w:val="24"/>
              </w:rPr>
              <w:t xml:space="preserve">      </w:t>
            </w:r>
            <w:r>
              <w:rPr>
                <w:rFonts w:hAnsi="宋体"/>
                <w:sz w:val="24"/>
              </w:rPr>
              <w:t>方</w:t>
            </w:r>
          </w:p>
        </w:tc>
        <w:tc>
          <w:tcPr>
            <w:tcW w:w="4608" w:type="dxa"/>
            <w:noWrap w:val="0"/>
            <w:vAlign w:val="top"/>
          </w:tcPr>
          <w:p>
            <w:pPr>
              <w:snapToGrid w:val="0"/>
              <w:spacing w:line="360" w:lineRule="auto"/>
              <w:jc w:val="center"/>
              <w:rPr>
                <w:sz w:val="24"/>
              </w:rPr>
            </w:pPr>
            <w:r>
              <w:rPr>
                <w:rFonts w:hAnsi="宋体"/>
                <w:sz w:val="24"/>
              </w:rPr>
              <w:t>乙</w:t>
            </w:r>
            <w:r>
              <w:rPr>
                <w:sz w:val="24"/>
              </w:rPr>
              <w:t xml:space="preserve">      </w:t>
            </w:r>
            <w:r>
              <w:rPr>
                <w:rFonts w:hAnsi="宋体"/>
                <w:sz w:val="24"/>
              </w:rPr>
              <w:t>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4500" w:type="dxa"/>
            <w:noWrap w:val="0"/>
            <w:vAlign w:val="top"/>
          </w:tcPr>
          <w:p>
            <w:pPr>
              <w:snapToGrid w:val="0"/>
              <w:spacing w:line="360" w:lineRule="auto"/>
              <w:rPr>
                <w:sz w:val="24"/>
              </w:rPr>
            </w:pPr>
            <w:r>
              <w:rPr>
                <w:rFonts w:hAnsi="宋体"/>
                <w:sz w:val="24"/>
              </w:rPr>
              <w:t>单位名称：</w:t>
            </w:r>
          </w:p>
          <w:p>
            <w:pPr>
              <w:snapToGrid w:val="0"/>
              <w:spacing w:line="360" w:lineRule="auto"/>
              <w:rPr>
                <w:sz w:val="24"/>
              </w:rPr>
            </w:pPr>
            <w:r>
              <w:rPr>
                <w:rFonts w:hAnsi="宋体"/>
                <w:sz w:val="24"/>
              </w:rPr>
              <w:t>单位地址：</w:t>
            </w:r>
          </w:p>
          <w:p>
            <w:pPr>
              <w:snapToGrid w:val="0"/>
              <w:spacing w:line="360" w:lineRule="auto"/>
              <w:rPr>
                <w:sz w:val="24"/>
              </w:rPr>
            </w:pPr>
            <w:r>
              <w:rPr>
                <w:rFonts w:hAnsi="宋体"/>
                <w:sz w:val="24"/>
              </w:rPr>
              <w:t>签约代表：</w:t>
            </w:r>
          </w:p>
          <w:p>
            <w:pPr>
              <w:snapToGrid w:val="0"/>
              <w:spacing w:line="360" w:lineRule="auto"/>
              <w:rPr>
                <w:sz w:val="24"/>
              </w:rPr>
            </w:pPr>
            <w:r>
              <w:rPr>
                <w:rFonts w:hAnsi="宋体"/>
                <w:sz w:val="24"/>
              </w:rPr>
              <w:t>开户银行：</w:t>
            </w:r>
          </w:p>
          <w:p>
            <w:pPr>
              <w:snapToGrid w:val="0"/>
              <w:spacing w:line="360" w:lineRule="auto"/>
              <w:rPr>
                <w:sz w:val="24"/>
              </w:rPr>
            </w:pPr>
            <w:r>
              <w:rPr>
                <w:rFonts w:hAnsi="宋体"/>
                <w:sz w:val="24"/>
              </w:rPr>
              <w:t>帐</w:t>
            </w:r>
            <w:r>
              <w:rPr>
                <w:sz w:val="24"/>
              </w:rPr>
              <w:t xml:space="preserve">    </w:t>
            </w:r>
            <w:r>
              <w:rPr>
                <w:rFonts w:hAnsi="宋体"/>
                <w:sz w:val="24"/>
              </w:rPr>
              <w:t>号：</w:t>
            </w:r>
          </w:p>
          <w:p>
            <w:pPr>
              <w:snapToGrid w:val="0"/>
              <w:spacing w:line="360" w:lineRule="auto"/>
              <w:rPr>
                <w:sz w:val="24"/>
              </w:rPr>
            </w:pPr>
            <w:r>
              <w:rPr>
                <w:rFonts w:hAnsi="宋体"/>
                <w:sz w:val="24"/>
              </w:rPr>
              <w:t>税务登记证号：</w:t>
            </w:r>
          </w:p>
          <w:p>
            <w:pPr>
              <w:snapToGrid w:val="0"/>
              <w:spacing w:line="360" w:lineRule="auto"/>
              <w:rPr>
                <w:sz w:val="24"/>
              </w:rPr>
            </w:pPr>
            <w:r>
              <w:rPr>
                <w:rFonts w:hAnsi="宋体"/>
                <w:sz w:val="24"/>
              </w:rPr>
              <w:t>电</w:t>
            </w:r>
            <w:r>
              <w:rPr>
                <w:sz w:val="24"/>
              </w:rPr>
              <w:t xml:space="preserve">    </w:t>
            </w:r>
            <w:r>
              <w:rPr>
                <w:rFonts w:hAnsi="宋体"/>
                <w:sz w:val="24"/>
              </w:rPr>
              <w:t>话：</w:t>
            </w:r>
          </w:p>
          <w:p>
            <w:pPr>
              <w:snapToGrid w:val="0"/>
              <w:spacing w:line="360" w:lineRule="auto"/>
              <w:rPr>
                <w:sz w:val="24"/>
              </w:rPr>
            </w:pPr>
            <w:r>
              <w:rPr>
                <w:rFonts w:hAnsi="宋体"/>
                <w:sz w:val="24"/>
              </w:rPr>
              <w:t>签字日期：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4608" w:type="dxa"/>
            <w:noWrap w:val="0"/>
            <w:vAlign w:val="top"/>
          </w:tcPr>
          <w:p>
            <w:pPr>
              <w:snapToGrid w:val="0"/>
              <w:spacing w:line="360" w:lineRule="auto"/>
              <w:rPr>
                <w:sz w:val="24"/>
              </w:rPr>
            </w:pPr>
            <w:r>
              <w:rPr>
                <w:rFonts w:hAnsi="宋体"/>
                <w:sz w:val="24"/>
              </w:rPr>
              <w:t>单位名称：</w:t>
            </w:r>
          </w:p>
          <w:p>
            <w:pPr>
              <w:snapToGrid w:val="0"/>
              <w:spacing w:line="360" w:lineRule="auto"/>
              <w:rPr>
                <w:sz w:val="24"/>
              </w:rPr>
            </w:pPr>
            <w:r>
              <w:rPr>
                <w:rFonts w:hAnsi="宋体"/>
                <w:sz w:val="24"/>
              </w:rPr>
              <w:t>单位地址：</w:t>
            </w:r>
          </w:p>
          <w:p>
            <w:pPr>
              <w:snapToGrid w:val="0"/>
              <w:spacing w:line="360" w:lineRule="auto"/>
              <w:rPr>
                <w:sz w:val="24"/>
              </w:rPr>
            </w:pPr>
            <w:r>
              <w:rPr>
                <w:rFonts w:hAnsi="宋体"/>
                <w:sz w:val="24"/>
              </w:rPr>
              <w:t>签约代表：</w:t>
            </w:r>
          </w:p>
          <w:p>
            <w:pPr>
              <w:snapToGrid w:val="0"/>
              <w:spacing w:line="360" w:lineRule="auto"/>
              <w:rPr>
                <w:sz w:val="24"/>
              </w:rPr>
            </w:pPr>
            <w:r>
              <w:rPr>
                <w:rFonts w:hAnsi="宋体"/>
                <w:sz w:val="24"/>
              </w:rPr>
              <w:t>开户银行：</w:t>
            </w:r>
          </w:p>
          <w:p>
            <w:pPr>
              <w:snapToGrid w:val="0"/>
              <w:spacing w:line="360" w:lineRule="auto"/>
              <w:rPr>
                <w:sz w:val="24"/>
              </w:rPr>
            </w:pPr>
            <w:r>
              <w:rPr>
                <w:rFonts w:hAnsi="宋体"/>
                <w:sz w:val="24"/>
              </w:rPr>
              <w:t>帐</w:t>
            </w:r>
            <w:r>
              <w:rPr>
                <w:sz w:val="24"/>
              </w:rPr>
              <w:t xml:space="preserve">    </w:t>
            </w:r>
            <w:r>
              <w:rPr>
                <w:rFonts w:hAnsi="宋体"/>
                <w:sz w:val="24"/>
              </w:rPr>
              <w:t>号：</w:t>
            </w:r>
          </w:p>
          <w:p>
            <w:pPr>
              <w:snapToGrid w:val="0"/>
              <w:spacing w:line="360" w:lineRule="auto"/>
              <w:rPr>
                <w:sz w:val="24"/>
              </w:rPr>
            </w:pPr>
            <w:r>
              <w:rPr>
                <w:rFonts w:hAnsi="宋体"/>
                <w:sz w:val="24"/>
              </w:rPr>
              <w:t>税务登记证号：</w:t>
            </w:r>
          </w:p>
          <w:p>
            <w:pPr>
              <w:snapToGrid w:val="0"/>
              <w:spacing w:line="360" w:lineRule="auto"/>
              <w:rPr>
                <w:sz w:val="24"/>
              </w:rPr>
            </w:pPr>
            <w:r>
              <w:rPr>
                <w:rFonts w:hAnsi="宋体"/>
                <w:sz w:val="24"/>
              </w:rPr>
              <w:t>电</w:t>
            </w:r>
            <w:r>
              <w:rPr>
                <w:sz w:val="24"/>
              </w:rPr>
              <w:t xml:space="preserve">    </w:t>
            </w:r>
            <w:r>
              <w:rPr>
                <w:rFonts w:hAnsi="宋体"/>
                <w:sz w:val="24"/>
              </w:rPr>
              <w:t>话：</w:t>
            </w:r>
          </w:p>
          <w:p>
            <w:pPr>
              <w:snapToGrid w:val="0"/>
              <w:spacing w:line="360" w:lineRule="auto"/>
              <w:rPr>
                <w:sz w:val="24"/>
              </w:rPr>
            </w:pPr>
            <w:r>
              <w:rPr>
                <w:rFonts w:hAnsi="宋体"/>
                <w:sz w:val="24"/>
              </w:rPr>
              <w:t>签字日期：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Pr>
        <w:snapToGrid w:val="0"/>
        <w:spacing w:line="360" w:lineRule="auto"/>
        <w:rPr>
          <w:sz w:val="24"/>
        </w:rPr>
      </w:pPr>
    </w:p>
    <w:p>
      <w:pPr>
        <w:snapToGrid w:val="0"/>
        <w:spacing w:line="380" w:lineRule="exact"/>
        <w:ind w:firstLine="640" w:firstLineChars="200"/>
        <w:rPr>
          <w:rFonts w:hint="eastAsia" w:eastAsia="仿宋_GB2312"/>
          <w:color w:val="000000"/>
          <w:sz w:val="32"/>
          <w:szCs w:val="32"/>
        </w:rPr>
      </w:pPr>
    </w:p>
    <w:p>
      <w:pPr>
        <w:tabs>
          <w:tab w:val="left" w:pos="1800"/>
        </w:tabs>
        <w:adjustRightInd w:val="0"/>
        <w:snapToGrid w:val="0"/>
        <w:spacing w:line="300" w:lineRule="auto"/>
        <w:ind w:firstLine="280" w:firstLineChars="100"/>
        <w:rPr>
          <w:rFonts w:hint="eastAsia" w:eastAsia="仿宋_GB2312"/>
          <w:color w:val="000000"/>
          <w:sz w:val="28"/>
          <w:szCs w:val="28"/>
        </w:rPr>
      </w:pPr>
    </w:p>
    <w:p>
      <w:pPr>
        <w:rPr>
          <w:rFonts w:hint="eastAsia" w:eastAsia="仿宋_GB2312"/>
          <w:color w:val="00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新魏碑体">
    <w:altName w:val="宋体"/>
    <w:panose1 w:val="0201060900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41606"/>
    <w:rsid w:val="001E2226"/>
    <w:rsid w:val="01C41606"/>
    <w:rsid w:val="06744153"/>
    <w:rsid w:val="0B2C2FA0"/>
    <w:rsid w:val="0C3202DB"/>
    <w:rsid w:val="0CF614ED"/>
    <w:rsid w:val="0E49521B"/>
    <w:rsid w:val="1028222E"/>
    <w:rsid w:val="13B2487C"/>
    <w:rsid w:val="14772F83"/>
    <w:rsid w:val="158E454C"/>
    <w:rsid w:val="16ED1D1E"/>
    <w:rsid w:val="1A255609"/>
    <w:rsid w:val="1A5A28CE"/>
    <w:rsid w:val="26564B89"/>
    <w:rsid w:val="266F6FCD"/>
    <w:rsid w:val="27717BFE"/>
    <w:rsid w:val="28D7316C"/>
    <w:rsid w:val="2C1B3AFA"/>
    <w:rsid w:val="31A3350C"/>
    <w:rsid w:val="31FD3965"/>
    <w:rsid w:val="32AD5D23"/>
    <w:rsid w:val="36BF36B6"/>
    <w:rsid w:val="39FD5D71"/>
    <w:rsid w:val="3D9149A2"/>
    <w:rsid w:val="3E671A73"/>
    <w:rsid w:val="3F6E0466"/>
    <w:rsid w:val="4405733D"/>
    <w:rsid w:val="4BDA717C"/>
    <w:rsid w:val="5175196D"/>
    <w:rsid w:val="5340263F"/>
    <w:rsid w:val="563D6F33"/>
    <w:rsid w:val="5CD13050"/>
    <w:rsid w:val="5E8E7D4D"/>
    <w:rsid w:val="5FE633BF"/>
    <w:rsid w:val="626C5DAB"/>
    <w:rsid w:val="64D1446E"/>
    <w:rsid w:val="67FB516D"/>
    <w:rsid w:val="6B747042"/>
    <w:rsid w:val="6BE56C46"/>
    <w:rsid w:val="6E915553"/>
    <w:rsid w:val="6FDF3658"/>
    <w:rsid w:val="70C335FA"/>
    <w:rsid w:val="741F0B47"/>
    <w:rsid w:val="74BA11F0"/>
    <w:rsid w:val="7AD8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0" w:lineRule="atLeast"/>
      <w:jc w:val="center"/>
      <w:outlineLvl w:val="0"/>
    </w:pPr>
    <w:rPr>
      <w:rFonts w:ascii="长城新魏碑体" w:eastAsia="长城新魏碑体"/>
      <w:b/>
      <w:sz w:val="15"/>
    </w:rPr>
  </w:style>
  <w:style w:type="paragraph" w:styleId="3">
    <w:name w:val="heading 2"/>
    <w:basedOn w:val="1"/>
    <w:next w:val="1"/>
    <w:qFormat/>
    <w:uiPriority w:val="0"/>
    <w:pPr>
      <w:keepNext/>
      <w:spacing w:line="0" w:lineRule="atLeast"/>
      <w:jc w:val="center"/>
      <w:outlineLvl w:val="1"/>
    </w:pPr>
    <w:rPr>
      <w:rFonts w:ascii="华文新魏" w:eastAsia="华文新魏"/>
      <w:b/>
      <w:sz w:val="24"/>
    </w:rPr>
  </w:style>
  <w:style w:type="character" w:default="1" w:styleId="7">
    <w:name w:val="Default Paragraph Font"/>
    <w:link w:val="8"/>
    <w:semiHidden/>
    <w:qFormat/>
    <w:uiPriority w:val="0"/>
    <w:rPr>
      <w:rFonts w:eastAsia="仿宋_GB2312"/>
      <w:sz w:val="32"/>
      <w:szCs w:val="20"/>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Char1"/>
    <w:basedOn w:val="1"/>
    <w:link w:val="7"/>
    <w:qFormat/>
    <w:uiPriority w:val="0"/>
    <w:rPr>
      <w:rFonts w:eastAsia="仿宋_GB2312"/>
      <w:sz w:val="32"/>
      <w:szCs w:val="2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2020-11-02T02:55:00Z</dcterms:created>
  <dc:creator>甘  子</dc:creator>
  <cp:lastModifiedBy>Administrator</cp:lastModifiedBy>
  <cp:lastPrinted>2021-01-04T08:17:00Z</cp:lastPrinted>
  <dcterms:modified xsi:type="dcterms:W3CDTF">2021-01-18T03:42:24Z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