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default" w:ascii="Times New Roman" w:hAnsi="Times New Roman" w:eastAsia="方正大标宋简体" w:cs="Times New Roman"/>
          <w:b/>
          <w:bCs/>
          <w:color w:val="FF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鹿审环批复〔202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关于广西振盛高科新材料科技有限公司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高分子材料物理共混改性造粒项目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环境影响报告表的批复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0" w:firstLineChars="0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广西振盛高科新材料科技有限公司：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你单位报来的《高分子材料物理共混改性造粒项目环境影响报告表》收悉。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经我局领导研究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，批复如下：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eastAsia" w:ascii="黑体" w:hAnsi="黑体" w:eastAsia="黑体" w:cs="黑体"/>
          <w:sz w:val="32"/>
          <w:szCs w:val="32"/>
        </w:rPr>
        <w:t>一、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项目位于广西柳州市鹿寨县鹿寨镇振园路8号办公楼、综合楼、1号车间、2号车间，租用厂房总占地面积26692.15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㎡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，总建筑面积：12000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㎡。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建设性质为新建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主要设置有高分子材料物理共混改性造粒生产区、原料区、成品区、预留中转区、办公区（办公楼、综合楼）等。项目以外购的聚丙烯、乙烯聚合物、石灰粉等为主要原料，主要设备有：全自动造粒机15台、水下自动切粒机15台、配套均衡桶6台、机器人操作手3台、检验仪2台、水洗涤塔及光氧活性炭一体化处理系统1套等。年产高分子材料物理共混改性颗粒8万t/a。总投资6000万元，其中环保投资50万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本项目已在“广西投资项目在线并联审批监管平台”进行了备案登记，项目代码：2408-450223-04-01-324905。从环境影响角度考虑，同意你公司按照登记表所列的建设项目的地点、性质、规模、采取的环境保护对策措施及下述要求进行项目建设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eastAsia" w:ascii="黑体" w:hAnsi="黑体" w:eastAsia="黑体" w:cs="黑体"/>
          <w:sz w:val="32"/>
          <w:szCs w:val="32"/>
        </w:rPr>
        <w:t>二、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项目须落实报告表提出的各项环保要求，重点抓好以下环保工作：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72" w:firstLineChars="200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项目热融工序产生的废气经收集，通过水洗涤塔及光氧活性炭一体机设备处理后通过排气筒排放，须确保非甲烷总烃排放浓度符合《合成树脂工业污染物排放标准》（GB31572-2015）中大气污染物排放限值要求，厂界非甲烷总经浓度符合《合成树脂工业污染物排放标准》(GB31572-2015)中企业边界大气污染物浓度限值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72" w:firstLineChars="200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Style w:val="9"/>
          <w:rFonts w:hint="eastAsia" w:ascii="华文楷体" w:hAnsi="华文楷体" w:eastAsia="华文楷体" w:cs="华文楷体"/>
          <w:sz w:val="32"/>
          <w:szCs w:val="32"/>
          <w:lang w:val="en-US" w:eastAsia="zh-CN"/>
        </w:rPr>
        <w:t>二</w:t>
      </w:r>
      <w:r>
        <w:rPr>
          <w:rStyle w:val="9"/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生产冷却及喷淋塔用水要求循环使用，不能外排。生活污水经化粪池处理符合《污水综合排放标准》（GB8978-1996）三级标准后，通过污水管网进入鹿寨县污水处理厂处理达标后排入洛清江。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72" w:firstLineChars="200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Style w:val="9"/>
          <w:rFonts w:hint="eastAsia" w:ascii="华文楷体" w:hAnsi="华文楷体" w:eastAsia="华文楷体" w:cs="华文楷体"/>
          <w:sz w:val="32"/>
          <w:szCs w:val="32"/>
          <w:lang w:val="en-US" w:eastAsia="zh-CN"/>
        </w:rPr>
        <w:t>三</w:t>
      </w:r>
      <w:r>
        <w:rPr>
          <w:rStyle w:val="9"/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合理布置噪声源，利用厂房、围墙等降低噪声影响，确保厂界噪声符合《工业企业厂界环境噪声排放标准》（GB12348-2008）3类标准要求。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eastAsia" w:ascii="华文楷体" w:hAnsi="华文楷体" w:eastAsia="华文楷体" w:cs="华文楷体"/>
          <w:sz w:val="32"/>
          <w:szCs w:val="32"/>
        </w:rPr>
        <w:t>（四）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废包装袋与员工生活垃圾统一收集，交由环卫部门统一处理。废活性炭属于危险废物，应按《危险废物贮存污染控制标准》（GB18597-2023）要求收集、暂时贮存，定期交由有资质的危险废物处置单位进行处置，并严格执行危险废物转移联单管理制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72" w:firstLineChars="200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（五）按照《环境保护图形标志一排污口（源）》和《排污口规范化整治要求（试行）》有关规定建设规范化的排污口。须按排污许可相关管理要求定期进行监测。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72" w:firstLineChars="200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按照《关于印发&lt;企业事业单位突发环境事件应急预案备案管理办法(试行)&gt;的通知》(环发(2015)4号)等相关要求，制订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eastAsia" w:ascii="黑体" w:hAnsi="黑体" w:eastAsia="黑体" w:cs="黑体"/>
          <w:sz w:val="32"/>
          <w:szCs w:val="32"/>
        </w:rPr>
        <w:t>三、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如建设项目的性质、规模、地点、生产工艺、所采取的污染防治措施发生重大变动项目的，或环境影响评价文件自批准之日起超过五年，方决定该项目开工建设的，须重新向我局报批建设项目环境影响评价文件。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鹿寨县行政审批局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（此件公开发布）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bidi w:val="0"/>
        <w:rPr>
          <w:rFonts w:hint="default"/>
          <w:color w:val="auto"/>
          <w:highlight w:val="none"/>
          <w:u w:val="single"/>
          <w:lang w:val="en-US" w:eastAsia="zh-CN"/>
        </w:rPr>
      </w:pP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                                                                                          </w:t>
      </w:r>
    </w:p>
    <w:p>
      <w:pPr>
        <w:tabs>
          <w:tab w:val="left" w:pos="624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鹿寨县行政审批局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办公室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日印发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</w:t>
      </w:r>
    </w:p>
    <w:sectPr>
      <w:footerReference r:id="rId5" w:type="default"/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209BF"/>
    <w:rsid w:val="2D780E71"/>
    <w:rsid w:val="488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firstLine="420" w:firstLineChars="200"/>
    </w:pPr>
    <w:rPr>
      <w:rFonts w:ascii="Calibri" w:hAnsi="Calibri" w:eastAsia="等线"/>
      <w:sz w:val="20"/>
      <w:szCs w:val="20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customStyle="1" w:styleId="4">
    <w:name w:val="报告正文"/>
    <w:basedOn w:val="1"/>
    <w:qFormat/>
    <w:uiPriority w:val="0"/>
    <w:pPr>
      <w:spacing w:line="240" w:lineRule="auto"/>
      <w:ind w:firstLine="488" w:firstLineChars="200"/>
      <w:jc w:val="both"/>
    </w:pPr>
    <w:rPr>
      <w:rFonts w:ascii="宋体" w:hAnsi="宋体"/>
      <w:spacing w:val="8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Default1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2024-09-23T01:33:00Z</dcterms:created>
  <dc:creator>◆ｋ.尐綯氣.</dc:creator>
  <cp:lastModifiedBy>Administrator</cp:lastModifiedBy>
  <dcterms:modified xsi:type="dcterms:W3CDTF">2024-09-24T02:20:28Z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5D71E8DDF67B4A25868056C6075AEAC9</vt:lpwstr>
  </property>
</Properties>
</file>