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jc w:val="center"/>
        <w:outlineLvl w:val="0"/>
        <w:rPr>
          <w:rFonts w:hint="default" w:ascii="Times New Roman" w:hAnsi="Times New Roman" w:eastAsia="宋体" w:cs="Times New Roman"/>
          <w:bCs/>
          <w:color w:val="000000" w:themeColor="text1"/>
          <w:sz w:val="72"/>
          <w:szCs w:val="72"/>
          <w14:textFill>
            <w14:solidFill>
              <w14:schemeClr w14:val="tx1"/>
            </w14:solidFill>
          </w14:textFill>
        </w:rPr>
      </w:pPr>
      <w:bookmarkStart w:id="0" w:name="_Toc111457497"/>
      <w:bookmarkStart w:id="1" w:name="_Toc28287"/>
      <w:bookmarkStart w:id="2" w:name="_Toc19818"/>
      <w:bookmarkStart w:id="3" w:name="_Toc28915"/>
      <w:bookmarkStart w:id="4" w:name="_Toc21386"/>
      <w:r>
        <w:rPr>
          <w:rFonts w:hint="default" w:ascii="Times New Roman" w:hAnsi="Times New Roman" w:eastAsia="宋体" w:cs="Times New Roman"/>
          <w:bCs/>
          <w:color w:val="000000" w:themeColor="text1"/>
          <w:sz w:val="72"/>
          <w:szCs w:val="72"/>
          <w14:textFill>
            <w14:solidFill>
              <w14:schemeClr w14:val="tx1"/>
            </w14:solidFill>
          </w14:textFill>
        </w:rPr>
        <w:t>建设项目环境影响报告表</w:t>
      </w:r>
      <w:bookmarkEnd w:id="0"/>
      <w:bookmarkEnd w:id="1"/>
      <w:bookmarkEnd w:id="2"/>
      <w:bookmarkEnd w:id="3"/>
      <w:bookmarkEnd w:id="4"/>
    </w:p>
    <w:p>
      <w:pPr>
        <w:adjustRightInd w:val="0"/>
        <w:snapToGrid w:val="0"/>
        <w:jc w:val="center"/>
        <w:rPr>
          <w:rFonts w:hint="default" w:ascii="Times New Roman" w:hAnsi="Times New Roman" w:eastAsia="宋体" w:cs="Times New Roman"/>
          <w:bCs/>
          <w:color w:val="000000" w:themeColor="text1"/>
          <w:sz w:val="44"/>
          <w:szCs w:val="44"/>
          <w14:textFill>
            <w14:solidFill>
              <w14:schemeClr w14:val="tx1"/>
            </w14:solidFill>
          </w14:textFill>
        </w:rPr>
      </w:pPr>
      <w:r>
        <w:rPr>
          <w:rFonts w:hint="default" w:ascii="Times New Roman" w:hAnsi="Times New Roman" w:eastAsia="宋体" w:cs="Times New Roman"/>
          <w:bCs/>
          <w:color w:val="000000" w:themeColor="text1"/>
          <w:sz w:val="44"/>
          <w:szCs w:val="44"/>
          <w14:textFill>
            <w14:solidFill>
              <w14:schemeClr w14:val="tx1"/>
            </w14:solidFill>
          </w14:textFill>
        </w:rPr>
        <w:t>（污染影响类）</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color w:val="000000" w:themeColor="text1"/>
          <w:sz w:val="44"/>
          <w:szCs w:val="44"/>
          <w:lang w:eastAsia="zh-CN"/>
          <w14:textFill>
            <w14:solidFill>
              <w14:schemeClr w14:val="tx1"/>
            </w14:solidFill>
          </w14:textFill>
        </w:rPr>
      </w:pPr>
      <w:r>
        <w:rPr>
          <w:rFonts w:hint="eastAsia" w:cs="Times New Roman"/>
          <w:color w:val="000000" w:themeColor="text1"/>
          <w:sz w:val="44"/>
          <w:szCs w:val="44"/>
          <w:lang w:eastAsia="zh-CN"/>
          <w14:textFill>
            <w14:solidFill>
              <w14:schemeClr w14:val="tx1"/>
            </w14:solidFill>
          </w14:textFill>
        </w:rPr>
        <w:t>（</w:t>
      </w:r>
      <w:r>
        <w:rPr>
          <w:rFonts w:hint="eastAsia" w:cs="Times New Roman"/>
          <w:color w:val="000000" w:themeColor="text1"/>
          <w:sz w:val="44"/>
          <w:szCs w:val="44"/>
          <w:lang w:val="en-US" w:eastAsia="zh-CN"/>
          <w14:textFill>
            <w14:solidFill>
              <w14:schemeClr w14:val="tx1"/>
            </w14:solidFill>
          </w14:textFill>
        </w:rPr>
        <w:t>公示稿</w:t>
      </w:r>
      <w:r>
        <w:rPr>
          <w:rFonts w:hint="eastAsia" w:cs="Times New Roman"/>
          <w:color w:val="000000" w:themeColor="text1"/>
          <w:sz w:val="44"/>
          <w:szCs w:val="44"/>
          <w:lang w:eastAsia="zh-CN"/>
          <w14:textFill>
            <w14:solidFill>
              <w14:schemeClr w14:val="tx1"/>
            </w14:solidFill>
          </w14:textFill>
        </w:rPr>
        <w:t>）</w:t>
      </w:r>
      <w:bookmarkStart w:id="71" w:name="_GoBack"/>
      <w:bookmarkEnd w:id="71"/>
    </w:p>
    <w:p>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adjustRightInd w:val="0"/>
        <w:snapToGrid w:val="0"/>
        <w:spacing w:line="360" w:lineRule="auto"/>
        <w:ind w:right="-370" w:rightChars="-176" w:hanging="142"/>
        <w:jc w:val="left"/>
        <w:rPr>
          <w:rFonts w:hint="eastAsia" w:cs="Times New Roman"/>
          <w:b/>
          <w:bCs/>
          <w:color w:val="000000" w:themeColor="text1"/>
          <w:sz w:val="32"/>
          <w:szCs w:val="36"/>
          <w:u w:val="single"/>
          <w:lang w:eastAsia="zh-CN"/>
          <w14:textFill>
            <w14:solidFill>
              <w14:schemeClr w14:val="tx1"/>
            </w14:solidFill>
          </w14:textFill>
        </w:rPr>
      </w:pPr>
      <w:r>
        <w:rPr>
          <w:rFonts w:hint="default" w:ascii="Times New Roman" w:hAnsi="Times New Roman" w:eastAsia="宋体" w:cs="Times New Roman"/>
          <w:b/>
          <w:bCs/>
          <w:color w:val="000000" w:themeColor="text1"/>
          <w:sz w:val="32"/>
          <w:szCs w:val="36"/>
          <w14:textFill>
            <w14:solidFill>
              <w14:schemeClr w14:val="tx1"/>
            </w14:solidFill>
          </w14:textFill>
        </w:rPr>
        <w:t>项目名称：</w:t>
      </w:r>
      <w:r>
        <w:rPr>
          <w:rFonts w:hint="eastAsia" w:cs="Times New Roman"/>
          <w:b/>
          <w:bCs/>
          <w:color w:val="000000" w:themeColor="text1"/>
          <w:sz w:val="32"/>
          <w:szCs w:val="36"/>
          <w:u w:val="single"/>
          <w:lang w:eastAsia="zh-CN"/>
          <w14:textFill>
            <w14:solidFill>
              <w14:schemeClr w14:val="tx1"/>
            </w14:solidFill>
          </w14:textFill>
        </w:rPr>
        <w:t>广西鹿寨县中渡镇全域土地综合整治助推乡村—</w:t>
      </w:r>
    </w:p>
    <w:p>
      <w:pPr>
        <w:adjustRightInd w:val="0"/>
        <w:snapToGrid w:val="0"/>
        <w:spacing w:line="360" w:lineRule="auto"/>
        <w:ind w:leftChars="700" w:right="-370" w:rightChars="-176" w:hanging="142"/>
        <w:jc w:val="left"/>
        <w:rPr>
          <w:rFonts w:hint="eastAsia" w:ascii="Times New Roman" w:hAnsi="Times New Roman" w:eastAsia="宋体" w:cs="Times New Roman"/>
          <w:b/>
          <w:bCs/>
          <w:color w:val="000000" w:themeColor="text1"/>
          <w:sz w:val="32"/>
          <w:szCs w:val="36"/>
          <w:u w:val="single"/>
          <w:lang w:eastAsia="zh-CN"/>
          <w14:textFill>
            <w14:solidFill>
              <w14:schemeClr w14:val="tx1"/>
            </w14:solidFill>
          </w14:textFill>
        </w:rPr>
      </w:pPr>
      <w:r>
        <w:rPr>
          <w:rFonts w:hint="eastAsia" w:cs="Times New Roman"/>
          <w:b/>
          <w:bCs/>
          <w:color w:val="000000" w:themeColor="text1"/>
          <w:sz w:val="32"/>
          <w:szCs w:val="36"/>
          <w:u w:val="single"/>
          <w:lang w:eastAsia="zh-CN"/>
          <w14:textFill>
            <w14:solidFill>
              <w14:schemeClr w14:val="tx1"/>
            </w14:solidFill>
          </w14:textFill>
        </w:rPr>
        <w:t>广西腾汇国营年产10000吨米粉厂建设项目（</w:t>
      </w:r>
      <w:r>
        <w:rPr>
          <w:rFonts w:hint="eastAsia" w:cs="Times New Roman"/>
          <w:b/>
          <w:bCs/>
          <w:color w:val="000000" w:themeColor="text1"/>
          <w:sz w:val="32"/>
          <w:szCs w:val="36"/>
          <w:u w:val="single"/>
          <w:lang w:val="en-US" w:eastAsia="zh-CN"/>
          <w14:textFill>
            <w14:solidFill>
              <w14:schemeClr w14:val="tx1"/>
            </w14:solidFill>
          </w14:textFill>
        </w:rPr>
        <w:t>一期</w:t>
      </w:r>
      <w:r>
        <w:rPr>
          <w:rFonts w:hint="eastAsia" w:cs="Times New Roman"/>
          <w:b/>
          <w:bCs/>
          <w:color w:val="000000" w:themeColor="text1"/>
          <w:sz w:val="32"/>
          <w:szCs w:val="36"/>
          <w:u w:val="single"/>
          <w:lang w:eastAsia="zh-CN"/>
          <w14:textFill>
            <w14:solidFill>
              <w14:schemeClr w14:val="tx1"/>
            </w14:solidFill>
          </w14:textFill>
        </w:rPr>
        <w:t>）</w:t>
      </w:r>
    </w:p>
    <w:p>
      <w:pPr>
        <w:adjustRightInd w:val="0"/>
        <w:snapToGrid w:val="0"/>
        <w:spacing w:line="360" w:lineRule="auto"/>
        <w:ind w:right="-370" w:rightChars="-176" w:hanging="142"/>
        <w:rPr>
          <w:rFonts w:hint="default" w:ascii="Times New Roman" w:hAnsi="Times New Roman" w:eastAsia="宋体" w:cs="Times New Roman"/>
          <w:b/>
          <w:bCs/>
          <w:color w:val="000000" w:themeColor="text1"/>
          <w:sz w:val="32"/>
          <w:szCs w:val="36"/>
          <w:u w:val="single"/>
          <w14:textFill>
            <w14:solidFill>
              <w14:schemeClr w14:val="tx1"/>
            </w14:solidFill>
          </w14:textFill>
        </w:rPr>
      </w:pPr>
      <w:r>
        <w:rPr>
          <w:rFonts w:hint="default" w:ascii="Times New Roman" w:hAnsi="Times New Roman" w:eastAsia="宋体" w:cs="Times New Roman"/>
          <w:b/>
          <w:bCs/>
          <w:color w:val="000000" w:themeColor="text1"/>
          <w:sz w:val="32"/>
          <w:szCs w:val="36"/>
          <w14:textFill>
            <w14:solidFill>
              <w14:schemeClr w14:val="tx1"/>
            </w14:solidFill>
          </w14:textFill>
        </w:rPr>
        <w:t>建设单位（盖章）：</w:t>
      </w:r>
      <w:r>
        <w:rPr>
          <w:rFonts w:hint="eastAsia" w:cs="Times New Roman"/>
          <w:b/>
          <w:bCs/>
          <w:color w:val="000000" w:themeColor="text1"/>
          <w:sz w:val="32"/>
          <w:szCs w:val="36"/>
          <w:u w:val="single"/>
          <w:lang w:val="en-US" w:eastAsia="zh-CN"/>
          <w14:textFill>
            <w14:solidFill>
              <w14:schemeClr w14:val="tx1"/>
            </w14:solidFill>
          </w14:textFill>
        </w:rPr>
        <w:t>鹿寨县泓霆资源经营有限公司</w:t>
      </w:r>
      <w:r>
        <w:rPr>
          <w:rFonts w:hint="default" w:ascii="Times New Roman" w:hAnsi="Times New Roman" w:eastAsia="宋体" w:cs="Times New Roman"/>
          <w:b/>
          <w:bCs/>
          <w:color w:val="000000" w:themeColor="text1"/>
          <w:sz w:val="32"/>
          <w:szCs w:val="36"/>
          <w:u w:val="single"/>
          <w14:textFill>
            <w14:solidFill>
              <w14:schemeClr w14:val="tx1"/>
            </w14:solidFill>
          </w14:textFill>
        </w:rPr>
        <w:t xml:space="preserve">      </w:t>
      </w:r>
    </w:p>
    <w:p>
      <w:pPr>
        <w:adjustRightInd w:val="0"/>
        <w:snapToGrid w:val="0"/>
        <w:spacing w:line="360" w:lineRule="auto"/>
        <w:ind w:right="-370" w:rightChars="-176" w:hanging="142"/>
        <w:rPr>
          <w:rFonts w:hint="default" w:ascii="Times New Roman" w:hAnsi="Times New Roman" w:eastAsia="宋体" w:cs="Times New Roman"/>
          <w:b/>
          <w:bCs/>
          <w:color w:val="000000" w:themeColor="text1"/>
          <w:sz w:val="32"/>
          <w:szCs w:val="36"/>
          <w:u w:val="single"/>
          <w14:textFill>
            <w14:solidFill>
              <w14:schemeClr w14:val="tx1"/>
            </w14:solidFill>
          </w14:textFill>
        </w:rPr>
      </w:pPr>
      <w:r>
        <w:rPr>
          <w:rFonts w:hint="default" w:ascii="Times New Roman" w:hAnsi="Times New Roman" w:eastAsia="宋体" w:cs="Times New Roman"/>
          <w:b/>
          <w:bCs/>
          <w:color w:val="000000" w:themeColor="text1"/>
          <w:sz w:val="32"/>
          <w:szCs w:val="36"/>
          <w14:textFill>
            <w14:solidFill>
              <w14:schemeClr w14:val="tx1"/>
            </w14:solidFill>
          </w14:textFill>
        </w:rPr>
        <w:t>编制日期：</w:t>
      </w:r>
      <w:r>
        <w:rPr>
          <w:rFonts w:hint="default" w:ascii="Times New Roman" w:hAnsi="Times New Roman" w:eastAsia="宋体" w:cs="Times New Roman"/>
          <w:b/>
          <w:bCs/>
          <w:color w:val="000000" w:themeColor="text1"/>
          <w:sz w:val="32"/>
          <w:szCs w:val="36"/>
          <w:u w:val="single"/>
          <w14:textFill>
            <w14:solidFill>
              <w14:schemeClr w14:val="tx1"/>
            </w14:solidFill>
          </w14:textFill>
        </w:rPr>
        <w:t xml:space="preserve">              </w:t>
      </w:r>
      <w:r>
        <w:rPr>
          <w:rFonts w:hint="default" w:ascii="Times New Roman" w:hAnsi="Times New Roman" w:eastAsia="宋体" w:cs="Times New Roman"/>
          <w:b/>
          <w:bCs/>
          <w:color w:val="000000" w:themeColor="text1"/>
          <w:sz w:val="32"/>
          <w:szCs w:val="36"/>
          <w:u w:val="single"/>
          <w:lang w:val="en-US" w:eastAsia="zh-CN"/>
          <w14:textFill>
            <w14:solidFill>
              <w14:schemeClr w14:val="tx1"/>
            </w14:solidFill>
          </w14:textFill>
        </w:rPr>
        <w:t>二零二</w:t>
      </w:r>
      <w:r>
        <w:rPr>
          <w:rFonts w:hint="eastAsia" w:cs="Times New Roman"/>
          <w:b/>
          <w:bCs/>
          <w:color w:val="000000" w:themeColor="text1"/>
          <w:sz w:val="32"/>
          <w:szCs w:val="36"/>
          <w:u w:val="single"/>
          <w:lang w:val="en-US" w:eastAsia="zh-CN"/>
          <w14:textFill>
            <w14:solidFill>
              <w14:schemeClr w14:val="tx1"/>
            </w14:solidFill>
          </w14:textFill>
        </w:rPr>
        <w:t>四</w:t>
      </w:r>
      <w:r>
        <w:rPr>
          <w:rFonts w:hint="default" w:ascii="Times New Roman" w:hAnsi="Times New Roman" w:eastAsia="宋体" w:cs="Times New Roman"/>
          <w:b/>
          <w:bCs/>
          <w:color w:val="000000" w:themeColor="text1"/>
          <w:sz w:val="32"/>
          <w:szCs w:val="36"/>
          <w:u w:val="single"/>
          <w14:textFill>
            <w14:solidFill>
              <w14:schemeClr w14:val="tx1"/>
            </w14:solidFill>
          </w14:textFill>
        </w:rPr>
        <w:t>年</w:t>
      </w:r>
      <w:r>
        <w:rPr>
          <w:rFonts w:hint="eastAsia" w:cs="Times New Roman"/>
          <w:b/>
          <w:bCs/>
          <w:color w:val="000000" w:themeColor="text1"/>
          <w:sz w:val="32"/>
          <w:szCs w:val="36"/>
          <w:u w:val="single"/>
          <w:lang w:val="en-US" w:eastAsia="zh-CN"/>
          <w14:textFill>
            <w14:solidFill>
              <w14:schemeClr w14:val="tx1"/>
            </w14:solidFill>
          </w14:textFill>
        </w:rPr>
        <w:t>二</w:t>
      </w:r>
      <w:r>
        <w:rPr>
          <w:rFonts w:hint="default" w:ascii="Times New Roman" w:hAnsi="Times New Roman" w:eastAsia="宋体" w:cs="Times New Roman"/>
          <w:b/>
          <w:bCs/>
          <w:color w:val="000000" w:themeColor="text1"/>
          <w:sz w:val="32"/>
          <w:szCs w:val="36"/>
          <w:u w:val="single"/>
          <w14:textFill>
            <w14:solidFill>
              <w14:schemeClr w14:val="tx1"/>
            </w14:solidFill>
          </w14:textFill>
        </w:rPr>
        <w:t xml:space="preserve">月               </w:t>
      </w:r>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bookmarkStart w:id="5" w:name="_Hlk57884087"/>
    </w:p>
    <w:p>
      <w:pPr>
        <w:pStyle w:val="32"/>
        <w:rPr>
          <w:rFonts w:hint="default" w:ascii="Times New Roman" w:hAnsi="Times New Roman" w:eastAsia="宋体" w:cs="Times New Roman"/>
          <w:color w:val="000000" w:themeColor="text1"/>
          <w14:textFill>
            <w14:solidFill>
              <w14:schemeClr w14:val="tx1"/>
            </w14:solidFill>
          </w14:textFill>
        </w:rPr>
      </w:pPr>
    </w:p>
    <w:p>
      <w:pPr>
        <w:pStyle w:val="31"/>
        <w:ind w:firstLine="180"/>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pStyle w:val="32"/>
        <w:rPr>
          <w:rFonts w:hint="default" w:ascii="Times New Roman" w:hAnsi="Times New Roman" w:eastAsia="宋体" w:cs="Times New Roman"/>
          <w:color w:val="000000" w:themeColor="text1"/>
          <w14:textFill>
            <w14:solidFill>
              <w14:schemeClr w14:val="tx1"/>
            </w14:solidFill>
          </w14:textFill>
        </w:rPr>
      </w:pPr>
    </w:p>
    <w:p>
      <w:pPr>
        <w:adjustRightInd w:val="0"/>
        <w:snapToGrid w:val="0"/>
        <w:spacing w:line="288" w:lineRule="auto"/>
        <w:rPr>
          <w:rFonts w:hint="default" w:ascii="Times New Roman" w:hAnsi="Times New Roman" w:eastAsia="宋体" w:cs="Times New Roman"/>
          <w:color w:val="000000" w:themeColor="text1"/>
          <w:sz w:val="36"/>
          <w:szCs w:val="36"/>
          <w14:textFill>
            <w14:solidFill>
              <w14:schemeClr w14:val="tx1"/>
            </w14:solidFill>
          </w14:textFill>
        </w:rPr>
      </w:pPr>
    </w:p>
    <w:bookmarkEnd w:id="5"/>
    <w:p>
      <w:pPr>
        <w:adjustRightInd w:val="0"/>
        <w:snapToGrid w:val="0"/>
        <w:spacing w:line="288" w:lineRule="auto"/>
        <w:jc w:val="center"/>
        <w:rPr>
          <w:rFonts w:hint="default" w:ascii="Times New Roman" w:hAnsi="Times New Roman" w:eastAsia="宋体" w:cs="Times New Roman"/>
          <w:b/>
          <w:bCs/>
          <w:color w:val="000000" w:themeColor="text1"/>
          <w:sz w:val="36"/>
          <w:szCs w:val="36"/>
          <w14:textFill>
            <w14:solidFill>
              <w14:schemeClr w14:val="tx1"/>
            </w14:solidFill>
          </w14:textFill>
        </w:rPr>
      </w:pPr>
      <w:r>
        <w:rPr>
          <w:rFonts w:hint="default" w:ascii="Times New Roman" w:hAnsi="Times New Roman" w:eastAsia="宋体" w:cs="Times New Roman"/>
          <w:b/>
          <w:bCs/>
          <w:color w:val="000000" w:themeColor="text1"/>
          <w:sz w:val="36"/>
          <w:szCs w:val="36"/>
          <w14:textFill>
            <w14:solidFill>
              <w14:schemeClr w14:val="tx1"/>
            </w14:solidFill>
          </w14:textFill>
        </w:rPr>
        <w:t>中华人民共和国生态环境部制</w:t>
      </w: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379" w:gutter="0"/>
          <w:pgNumType w:start="3"/>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7"/>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76" name="图片 76" descr="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北面"/>
                          <pic:cNvPicPr>
                            <a:picLocks noChangeAspect="1"/>
                          </pic:cNvPicPr>
                        </pic:nvPicPr>
                        <pic:blipFill>
                          <a:blip r:embed="rId11"/>
                          <a:stretch>
                            <a:fillRect/>
                          </a:stretch>
                        </pic:blipFill>
                        <pic:spPr>
                          <a:xfrm>
                            <a:off x="0" y="0"/>
                            <a:ext cx="3339465" cy="2503805"/>
                          </a:xfrm>
                          <a:prstGeom prst="rect">
                            <a:avLst/>
                          </a:prstGeom>
                        </pic:spPr>
                      </pic:pic>
                    </a:graphicData>
                  </a:graphic>
                </wp:inline>
              </w:drawing>
            </w:r>
          </w:p>
        </w:tc>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77" name="图片 77" descr="东面废弃养护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东面废弃养护站"/>
                          <pic:cNvPicPr>
                            <a:picLocks noChangeAspect="1"/>
                          </pic:cNvPicPr>
                        </pic:nvPicPr>
                        <pic:blipFill>
                          <a:blip r:embed="rId12"/>
                          <a:stretch>
                            <a:fillRect/>
                          </a:stretch>
                        </pic:blipFill>
                        <pic:spPr>
                          <a:xfrm>
                            <a:off x="0" y="0"/>
                            <a:ext cx="3339465" cy="2503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项目北侧道路</w:t>
            </w:r>
          </w:p>
        </w:tc>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东面废弃养护站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78" name="图片 78" descr="南面米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南面米厂"/>
                          <pic:cNvPicPr>
                            <a:picLocks noChangeAspect="1"/>
                          </pic:cNvPicPr>
                        </pic:nvPicPr>
                        <pic:blipFill>
                          <a:blip r:embed="rId13"/>
                          <a:stretch>
                            <a:fillRect/>
                          </a:stretch>
                        </pic:blipFill>
                        <pic:spPr>
                          <a:xfrm>
                            <a:off x="0" y="0"/>
                            <a:ext cx="3339465" cy="2503805"/>
                          </a:xfrm>
                          <a:prstGeom prst="rect">
                            <a:avLst/>
                          </a:prstGeom>
                        </pic:spPr>
                      </pic:pic>
                    </a:graphicData>
                  </a:graphic>
                </wp:inline>
              </w:drawing>
            </w:r>
          </w:p>
        </w:tc>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79" name="图片 79" descr="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西面"/>
                          <pic:cNvPicPr>
                            <a:picLocks noChangeAspect="1"/>
                          </pic:cNvPicPr>
                        </pic:nvPicPr>
                        <pic:blipFill>
                          <a:blip r:embed="rId14"/>
                          <a:stretch>
                            <a:fillRect/>
                          </a:stretch>
                        </pic:blipFill>
                        <pic:spPr>
                          <a:xfrm>
                            <a:off x="0" y="0"/>
                            <a:ext cx="3339465" cy="2503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项目南面米厂</w:t>
            </w:r>
          </w:p>
        </w:tc>
        <w:tc>
          <w:tcPr>
            <w:tcW w:w="5494" w:type="dxa"/>
          </w:tcPr>
          <w:p>
            <w:pPr>
              <w:adjustRightInd w:val="0"/>
              <w:snapToGrid w:val="0"/>
              <w:spacing w:line="288" w:lineRule="auto"/>
              <w:jc w:val="cente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西面道路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80" name="图片 80" descr="西面河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西面河流"/>
                          <pic:cNvPicPr>
                            <a:picLocks noChangeAspect="1"/>
                          </pic:cNvPicPr>
                        </pic:nvPicPr>
                        <pic:blipFill>
                          <a:blip r:embed="rId15"/>
                          <a:stretch>
                            <a:fillRect/>
                          </a:stretch>
                        </pic:blipFill>
                        <pic:spPr>
                          <a:xfrm>
                            <a:off x="0" y="0"/>
                            <a:ext cx="3339465" cy="2503805"/>
                          </a:xfrm>
                          <a:prstGeom prst="rect">
                            <a:avLst/>
                          </a:prstGeom>
                        </pic:spPr>
                      </pic:pic>
                    </a:graphicData>
                  </a:graphic>
                </wp:inline>
              </w:drawing>
            </w:r>
          </w:p>
        </w:tc>
        <w:tc>
          <w:tcPr>
            <w:tcW w:w="5494" w:type="dxa"/>
          </w:tcPr>
          <w:p>
            <w:pPr>
              <w:adjustRightInd w:val="0"/>
              <w:snapToGrid w:val="0"/>
              <w:spacing w:line="288" w:lineRule="auto"/>
              <w:jc w:val="cente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44"/>
                <w:szCs w:val="44"/>
                <w:vertAlign w:val="baseline"/>
                <w:lang w:val="zh-CN"/>
                <w14:textFill>
                  <w14:solidFill>
                    <w14:schemeClr w14:val="tx1"/>
                  </w14:solidFill>
                </w14:textFill>
              </w:rPr>
              <w:drawing>
                <wp:inline distT="0" distB="0" distL="114300" distR="114300">
                  <wp:extent cx="3339465" cy="2503805"/>
                  <wp:effectExtent l="0" t="0" r="13335" b="10795"/>
                  <wp:docPr id="82" name="图片 82" descr="现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现状3"/>
                          <pic:cNvPicPr>
                            <a:picLocks noChangeAspect="1"/>
                          </pic:cNvPicPr>
                        </pic:nvPicPr>
                        <pic:blipFill>
                          <a:blip r:embed="rId16"/>
                          <a:stretch>
                            <a:fillRect/>
                          </a:stretch>
                        </pic:blipFill>
                        <pic:spPr>
                          <a:xfrm>
                            <a:off x="0" y="0"/>
                            <a:ext cx="3339465" cy="2503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tcPr>
          <w:p>
            <w:pPr>
              <w:adjustRightInd w:val="0"/>
              <w:snapToGrid w:val="0"/>
              <w:spacing w:line="288" w:lineRule="auto"/>
              <w:jc w:val="cente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西面河流</w:t>
            </w:r>
          </w:p>
        </w:tc>
        <w:tc>
          <w:tcPr>
            <w:tcW w:w="5494" w:type="dxa"/>
          </w:tcPr>
          <w:p>
            <w:pPr>
              <w:adjustRightInd w:val="0"/>
              <w:snapToGrid w:val="0"/>
              <w:spacing w:line="288" w:lineRule="auto"/>
              <w:jc w:val="cente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项目现状</w:t>
            </w:r>
          </w:p>
        </w:tc>
      </w:tr>
    </w:tbl>
    <w:p>
      <w:pPr>
        <w:rPr>
          <w:rFonts w:hint="default" w:ascii="Times New Roman" w:hAnsi="Times New Roman" w:eastAsia="宋体" w:cs="Times New Roman"/>
          <w:b/>
          <w:bCs/>
          <w:color w:val="000000" w:themeColor="text1"/>
          <w:sz w:val="84"/>
          <w:szCs w:val="84"/>
          <w:lang w:val="zh-CN"/>
          <w14:textFill>
            <w14:solidFill>
              <w14:schemeClr w14:val="tx1"/>
            </w14:solidFill>
          </w14:textFill>
        </w:rPr>
      </w:pPr>
      <w:r>
        <w:rPr>
          <w:rFonts w:hint="default" w:ascii="Times New Roman" w:hAnsi="Times New Roman" w:eastAsia="宋体" w:cs="Times New Roman"/>
          <w:b/>
          <w:bCs/>
          <w:color w:val="000000" w:themeColor="text1"/>
          <w:sz w:val="84"/>
          <w:szCs w:val="84"/>
          <w:lang w:val="zh-CN"/>
          <w14:textFill>
            <w14:solidFill>
              <w14:schemeClr w14:val="tx1"/>
            </w14:solidFill>
          </w14:textFill>
        </w:rPr>
        <w:drawing>
          <wp:inline distT="0" distB="0" distL="114300" distR="114300">
            <wp:extent cx="5706745" cy="4277995"/>
            <wp:effectExtent l="0" t="0" r="8255" b="8255"/>
            <wp:docPr id="39" name="图片 39" descr="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师现场照片"/>
                    <pic:cNvPicPr>
                      <a:picLocks noChangeAspect="1"/>
                    </pic:cNvPicPr>
                  </pic:nvPicPr>
                  <pic:blipFill>
                    <a:blip r:embed="rId17"/>
                    <a:stretch>
                      <a:fillRect/>
                    </a:stretch>
                  </pic:blipFill>
                  <pic:spPr>
                    <a:xfrm>
                      <a:off x="0" y="0"/>
                      <a:ext cx="5706745" cy="4277995"/>
                    </a:xfrm>
                    <a:prstGeom prst="rect">
                      <a:avLst/>
                    </a:prstGeom>
                  </pic:spPr>
                </pic:pic>
              </a:graphicData>
            </a:graphic>
          </wp:inline>
        </w:drawing>
      </w:r>
    </w:p>
    <w:p>
      <w:pPr>
        <w:adjustRightInd w:val="0"/>
        <w:snapToGrid w:val="0"/>
        <w:spacing w:line="288" w:lineRule="auto"/>
        <w:jc w:val="center"/>
        <w:rPr>
          <w:rFonts w:hint="default" w:cs="Times New Roman"/>
          <w:b/>
          <w:bCs/>
          <w:color w:val="000000" w:themeColor="text1"/>
          <w:sz w:val="24"/>
          <w:szCs w:val="24"/>
          <w:vertAlign w:val="baseline"/>
          <w:lang w:val="en-US" w:eastAsia="zh-CN"/>
          <w14:textFill>
            <w14:solidFill>
              <w14:schemeClr w14:val="tx1"/>
            </w14:solidFill>
          </w14:textFill>
        </w:rPr>
      </w:pPr>
      <w:r>
        <w:rPr>
          <w:rFonts w:hint="eastAsia" w:cs="Times New Roman"/>
          <w:b/>
          <w:bCs/>
          <w:color w:val="000000" w:themeColor="text1"/>
          <w:sz w:val="24"/>
          <w:szCs w:val="24"/>
          <w:vertAlign w:val="baseline"/>
          <w:lang w:val="en-US" w:eastAsia="zh-CN"/>
          <w14:textFill>
            <w14:solidFill>
              <w14:schemeClr w14:val="tx1"/>
            </w14:solidFill>
          </w14:textFill>
        </w:rPr>
        <w:t>现场照片</w:t>
      </w:r>
    </w:p>
    <w:p>
      <w:pPr>
        <w:adjustRightInd w:val="0"/>
        <w:snapToGrid w:val="0"/>
        <w:spacing w:line="288" w:lineRule="auto"/>
        <w:jc w:val="center"/>
        <w:rPr>
          <w:rFonts w:hint="default" w:ascii="Times New Roman" w:hAnsi="Times New Roman" w:eastAsia="宋体" w:cs="Times New Roman"/>
          <w:b/>
          <w:bCs/>
          <w:color w:val="000000" w:themeColor="text1"/>
          <w:sz w:val="84"/>
          <w:szCs w:val="84"/>
          <w:lang w:val="zh-CN"/>
          <w14:textFill>
            <w14:solidFill>
              <w14:schemeClr w14:val="tx1"/>
            </w14:solidFill>
          </w14:textFill>
        </w:rPr>
      </w:pPr>
    </w:p>
    <w:p>
      <w:pPr>
        <w:rPr>
          <w:rFonts w:hint="default" w:ascii="Times New Roman" w:hAnsi="Times New Roman" w:eastAsia="宋体" w:cs="Times New Roman"/>
          <w:b/>
          <w:bCs/>
          <w:color w:val="000000" w:themeColor="text1"/>
          <w:sz w:val="84"/>
          <w:szCs w:val="84"/>
          <w:lang w:val="zh-CN"/>
          <w14:textFill>
            <w14:solidFill>
              <w14:schemeClr w14:val="tx1"/>
            </w14:solidFill>
          </w14:textFill>
        </w:rPr>
      </w:pPr>
      <w:r>
        <w:rPr>
          <w:rFonts w:hint="default" w:ascii="Times New Roman" w:hAnsi="Times New Roman" w:eastAsia="宋体" w:cs="Times New Roman"/>
          <w:b/>
          <w:bCs/>
          <w:color w:val="000000" w:themeColor="text1"/>
          <w:sz w:val="84"/>
          <w:szCs w:val="84"/>
          <w:lang w:val="zh-CN"/>
          <w14:textFill>
            <w14:solidFill>
              <w14:schemeClr w14:val="tx1"/>
            </w14:solidFill>
          </w14:textFill>
        </w:rPr>
        <w:br w:type="page"/>
      </w:r>
    </w:p>
    <w:p>
      <w:pPr>
        <w:adjustRightInd w:val="0"/>
        <w:snapToGrid w:val="0"/>
        <w:spacing w:line="288" w:lineRule="auto"/>
        <w:jc w:val="center"/>
        <w:rPr>
          <w:rFonts w:hint="default" w:ascii="Times New Roman" w:hAnsi="Times New Roman" w:eastAsia="宋体" w:cs="Times New Roman"/>
          <w:b/>
          <w:bCs/>
          <w:color w:val="000000" w:themeColor="text1"/>
          <w:sz w:val="32"/>
          <w:szCs w:val="32"/>
          <w:lang w:val="zh-CN"/>
          <w14:textFill>
            <w14:solidFill>
              <w14:schemeClr w14:val="tx1"/>
            </w14:solidFill>
          </w14:textFill>
        </w:rPr>
      </w:pPr>
      <w:r>
        <w:rPr>
          <w:rFonts w:hint="default" w:ascii="Times New Roman" w:hAnsi="Times New Roman" w:eastAsia="宋体" w:cs="Times New Roman"/>
          <w:b/>
          <w:bCs/>
          <w:color w:val="000000" w:themeColor="text1"/>
          <w:sz w:val="32"/>
          <w:szCs w:val="32"/>
          <w:lang w:val="zh-CN"/>
          <w14:textFill>
            <w14:solidFill>
              <w14:schemeClr w14:val="tx1"/>
            </w14:solidFill>
          </w14:textFill>
        </w:rPr>
        <w:t>目  录</w:t>
      </w:r>
    </w:p>
    <w:p>
      <w:pPr>
        <w:pStyle w:val="15"/>
        <w:keepNext w:val="0"/>
        <w:keepLines w:val="0"/>
        <w:pageBreakBefore w:val="0"/>
        <w:widowControl w:val="0"/>
        <w:tabs>
          <w:tab w:val="right" w:leader="dot" w:pos="8998"/>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fldChar w:fldCharType="begin"/>
      </w:r>
      <w:r>
        <w:rPr>
          <w:rFonts w:hint="default" w:ascii="Times New Roman" w:hAnsi="Times New Roman" w:eastAsia="宋体" w:cs="Times New Roman"/>
          <w:color w:val="000000" w:themeColor="text1"/>
          <w:sz w:val="28"/>
          <w:szCs w:val="28"/>
          <w14:textFill>
            <w14:solidFill>
              <w14:schemeClr w14:val="tx1"/>
            </w14:solidFill>
          </w14:textFill>
        </w:rPr>
        <w:instrText xml:space="preserve"> TOC \o "1-3" \h \z \u </w:instrText>
      </w:r>
      <w:r>
        <w:rPr>
          <w:rFonts w:hint="default" w:ascii="Times New Roman" w:hAnsi="Times New Roman" w:eastAsia="宋体" w:cs="Times New Roman"/>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_Toc28602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一、建设项目基本情况</w:t>
      </w:r>
      <w:r>
        <w:rPr>
          <w:rFonts w:hint="default" w:ascii="Times New Roman" w:hAnsi="Times New Roman" w:eastAsia="宋体" w:cs="Times New Roman"/>
          <w:b/>
          <w:bCs/>
          <w:color w:val="000000" w:themeColor="text1"/>
          <w:sz w:val="28"/>
          <w:szCs w:val="28"/>
          <w14:textFill>
            <w14:solidFill>
              <w14:schemeClr w14:val="tx1"/>
            </w14:solidFill>
          </w14:textFill>
        </w:rPr>
        <w:tab/>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_Toc28602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- 1 -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pStyle w:val="15"/>
        <w:keepNext w:val="0"/>
        <w:keepLines w:val="0"/>
        <w:pageBreakBefore w:val="0"/>
        <w:widowControl w:val="0"/>
        <w:tabs>
          <w:tab w:val="right" w:leader="dot" w:pos="8998"/>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_Toc27728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二、建设项目工程分析</w:t>
      </w:r>
      <w:r>
        <w:rPr>
          <w:rFonts w:hint="default" w:ascii="Times New Roman" w:hAnsi="Times New Roman" w:eastAsia="宋体" w:cs="Times New Roman"/>
          <w:b/>
          <w:bCs/>
          <w:color w:val="000000" w:themeColor="text1"/>
          <w:sz w:val="28"/>
          <w:szCs w:val="28"/>
          <w14:textFill>
            <w14:solidFill>
              <w14:schemeClr w14:val="tx1"/>
            </w14:solidFill>
          </w14:textFill>
        </w:rPr>
        <w:tab/>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_Toc27728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- 6 -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pStyle w:val="15"/>
        <w:keepNext w:val="0"/>
        <w:keepLines w:val="0"/>
        <w:pageBreakBefore w:val="0"/>
        <w:widowControl w:val="0"/>
        <w:tabs>
          <w:tab w:val="right" w:leader="dot" w:pos="8998"/>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_Toc8493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三、区域环境质量现状、环境保护目标及评价标准</w:t>
      </w:r>
      <w:r>
        <w:rPr>
          <w:rFonts w:hint="default" w:ascii="Times New Roman" w:hAnsi="Times New Roman" w:eastAsia="宋体" w:cs="Times New Roman"/>
          <w:b/>
          <w:bCs/>
          <w:color w:val="000000" w:themeColor="text1"/>
          <w:sz w:val="28"/>
          <w:szCs w:val="28"/>
          <w14:textFill>
            <w14:solidFill>
              <w14:schemeClr w14:val="tx1"/>
            </w14:solidFill>
          </w14:textFill>
        </w:rPr>
        <w:tab/>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_Toc8493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- 20 -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pStyle w:val="15"/>
        <w:keepNext w:val="0"/>
        <w:keepLines w:val="0"/>
        <w:pageBreakBefore w:val="0"/>
        <w:widowControl w:val="0"/>
        <w:tabs>
          <w:tab w:val="right" w:leader="dot" w:pos="8998"/>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_Toc6886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8"/>
          <w:szCs w:val="28"/>
          <w14:textFill>
            <w14:solidFill>
              <w14:schemeClr w14:val="tx1"/>
            </w14:solidFill>
          </w14:textFill>
        </w:rPr>
        <w:t>四、主要环境影响和保护措施</w:t>
      </w:r>
      <w:r>
        <w:rPr>
          <w:rFonts w:hint="default" w:ascii="Times New Roman" w:hAnsi="Times New Roman" w:eastAsia="宋体" w:cs="Times New Roman"/>
          <w:b/>
          <w:bCs/>
          <w:color w:val="000000" w:themeColor="text1"/>
          <w:sz w:val="28"/>
          <w:szCs w:val="28"/>
          <w14:textFill>
            <w14:solidFill>
              <w14:schemeClr w14:val="tx1"/>
            </w14:solidFill>
          </w14:textFill>
        </w:rPr>
        <w:tab/>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_Toc6886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- 25 -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pStyle w:val="15"/>
        <w:keepNext w:val="0"/>
        <w:keepLines w:val="0"/>
        <w:pageBreakBefore w:val="0"/>
        <w:widowControl w:val="0"/>
        <w:tabs>
          <w:tab w:val="right" w:leader="dot" w:pos="8998"/>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_Toc6100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五、环境保护措施监督检查清单</w:t>
      </w:r>
      <w:r>
        <w:rPr>
          <w:rFonts w:hint="default" w:ascii="Times New Roman" w:hAnsi="Times New Roman" w:eastAsia="宋体" w:cs="Times New Roman"/>
          <w:b/>
          <w:bCs/>
          <w:color w:val="000000" w:themeColor="text1"/>
          <w:sz w:val="28"/>
          <w:szCs w:val="28"/>
          <w14:textFill>
            <w14:solidFill>
              <w14:schemeClr w14:val="tx1"/>
            </w14:solidFill>
          </w14:textFill>
        </w:rPr>
        <w:tab/>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_Toc6100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- 51 -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pStyle w:val="15"/>
        <w:keepNext w:val="0"/>
        <w:keepLines w:val="0"/>
        <w:pageBreakBefore w:val="0"/>
        <w:widowControl w:val="0"/>
        <w:tabs>
          <w:tab w:val="clear" w:pos="8812"/>
        </w:tabs>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lang w:val="zh-CN"/>
          <w14:textFill>
            <w14:solidFill>
              <w14:schemeClr w14:val="tx1"/>
            </w14:solidFill>
          </w14:textFill>
        </w:rPr>
        <w:instrText xml:space="preserve"> HYPERLINK \l _Toc12095 </w:instrText>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六、结论</w:t>
      </w:r>
      <w:r>
        <w:rPr>
          <w:rFonts w:hint="eastAsia" w:ascii="Times New Roman" w:cs="Times New Roman"/>
          <w:b/>
          <w:bCs/>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 PAGEREF _Toc12095 \h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
          <w:bCs/>
          <w:color w:val="000000" w:themeColor="text1"/>
          <w:sz w:val="28"/>
          <w:szCs w:val="28"/>
          <w14:textFill>
            <w14:solidFill>
              <w14:schemeClr w14:val="tx1"/>
            </w14:solidFill>
          </w14:textFill>
        </w:rPr>
        <w:t>- 53 -</w:t>
      </w:r>
      <w:r>
        <w:rPr>
          <w:rFonts w:hint="default" w:ascii="Times New Roman" w:hAnsi="Times New Roman" w:eastAsia="宋体" w:cs="Times New Roman"/>
          <w:b/>
          <w:bCs/>
          <w:color w:val="000000" w:themeColor="text1"/>
          <w:sz w:val="28"/>
          <w:szCs w:val="28"/>
          <w14:textFill>
            <w14:solidFill>
              <w14:schemeClr w14:val="tx1"/>
            </w14:solidFill>
          </w14:textFill>
        </w:rPr>
        <w:fldChar w:fldCharType="end"/>
      </w:r>
      <w:r>
        <w:rPr>
          <w:rFonts w:hint="default" w:ascii="Times New Roman" w:hAnsi="Times New Roman" w:eastAsia="宋体" w:cs="Times New Roman"/>
          <w:b/>
          <w:bCs/>
          <w:color w:val="000000" w:themeColor="text1"/>
          <w:sz w:val="28"/>
          <w:szCs w:val="28"/>
          <w:lang w:val="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before="313" w:beforeLines="100" w:after="313" w:afterLines="100" w:line="480" w:lineRule="auto"/>
        <w:textAlignment w:val="auto"/>
        <w:rPr>
          <w:rFonts w:hint="default" w:ascii="Times New Roman" w:hAnsi="Times New Roman" w:eastAsia="宋体" w:cs="Times New Roman"/>
          <w:color w:val="000000" w:themeColor="text1"/>
          <w:sz w:val="24"/>
          <w:szCs w:val="24"/>
          <w:lang w:val="zh-CN"/>
          <w14:textFill>
            <w14:solidFill>
              <w14:schemeClr w14:val="tx1"/>
            </w14:solidFill>
          </w14:textFill>
        </w:rPr>
        <w:sectPr>
          <w:footerReference r:id="rId5" w:type="default"/>
          <w:pgSz w:w="11906" w:h="16838"/>
          <w:pgMar w:top="1418" w:right="1490" w:bottom="1418" w:left="1418" w:header="1134" w:footer="1134" w:gutter="0"/>
          <w:pgNumType w:fmt="upperRoman" w:start="1"/>
          <w:cols w:space="720" w:num="1"/>
          <w:titlePg/>
          <w:docGrid w:linePitch="312" w:charSpace="0"/>
        </w:sectPr>
      </w:pPr>
      <w:r>
        <w:rPr>
          <w:rFonts w:hint="default" w:ascii="Times New Roman" w:hAnsi="Times New Roman" w:eastAsia="宋体" w:cs="Times New Roman"/>
          <w:color w:val="000000" w:themeColor="text1"/>
          <w:sz w:val="28"/>
          <w:szCs w:val="28"/>
          <w:lang w:val="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附表：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14:textFill>
            <w14:solidFill>
              <w14:schemeClr w14:val="tx1"/>
            </w14:solidFill>
          </w14:textFill>
        </w:rPr>
        <w:t>建设项目污染物排放量汇总表</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附件1：环评委托书</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附件2：项目</w:t>
      </w:r>
      <w:r>
        <w:rPr>
          <w:rFonts w:hint="eastAsia" w:cs="Times New Roman"/>
          <w:b w:val="0"/>
          <w:bCs w:val="0"/>
          <w:color w:val="000000" w:themeColor="text1"/>
          <w:sz w:val="24"/>
          <w:szCs w:val="24"/>
          <w:lang w:val="en-US" w:eastAsia="zh-CN"/>
          <w14:textFill>
            <w14:solidFill>
              <w14:schemeClr w14:val="tx1"/>
            </w14:solidFill>
          </w14:textFill>
        </w:rPr>
        <w:t>可研批复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附件3：营业执照</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附件4：项目初步设计批复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附件5：项目土地手续</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附件6：项目业主变更手续</w:t>
      </w:r>
    </w:p>
    <w:p>
      <w:pPr>
        <w:pStyle w:val="9"/>
        <w:rPr>
          <w:rFonts w:hint="default"/>
          <w:lang w:val="en-US" w:eastAsia="zh-CN"/>
        </w:rPr>
      </w:pPr>
      <w:r>
        <w:rPr>
          <w:rFonts w:hint="eastAsia" w:cs="Times New Roman"/>
          <w:b w:val="0"/>
          <w:bCs w:val="0"/>
          <w:color w:val="000000" w:themeColor="text1"/>
          <w:sz w:val="24"/>
          <w:szCs w:val="24"/>
          <w:lang w:val="en-US" w:eastAsia="zh-CN"/>
          <w14:textFill>
            <w14:solidFill>
              <w14:schemeClr w14:val="tx1"/>
            </w14:solidFill>
          </w14:textFill>
        </w:rPr>
        <w:t>附件7：检测报告</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附图1：项目地理位置示意图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附图2：项目</w:t>
      </w:r>
      <w:r>
        <w:rPr>
          <w:rFonts w:hint="eastAsia" w:cs="Times New Roman"/>
          <w:b w:val="0"/>
          <w:bCs w:val="0"/>
          <w:color w:val="000000" w:themeColor="text1"/>
          <w:sz w:val="24"/>
          <w:szCs w:val="24"/>
          <w:lang w:val="en-US" w:eastAsia="zh-CN"/>
          <w14:textFill>
            <w14:solidFill>
              <w14:schemeClr w14:val="tx1"/>
            </w14:solidFill>
          </w14:textFill>
        </w:rPr>
        <w:t>周围环境示意图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附图3：</w:t>
      </w:r>
      <w:r>
        <w:rPr>
          <w:rFonts w:hint="eastAsia" w:cs="Times New Roman"/>
          <w:b w:val="0"/>
          <w:bCs w:val="0"/>
          <w:color w:val="000000" w:themeColor="text1"/>
          <w:sz w:val="24"/>
          <w:szCs w:val="24"/>
          <w:lang w:val="en-US" w:eastAsia="zh-CN"/>
          <w14:textFill>
            <w14:solidFill>
              <w14:schemeClr w14:val="tx1"/>
            </w14:solidFill>
          </w14:textFill>
        </w:rPr>
        <w:t>项目平面布置图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附图4：</w:t>
      </w:r>
      <w:r>
        <w:rPr>
          <w:rFonts w:hint="eastAsia" w:cs="Times New Roman"/>
          <w:b w:val="0"/>
          <w:bCs w:val="0"/>
          <w:color w:val="000000" w:themeColor="text1"/>
          <w:sz w:val="24"/>
          <w:szCs w:val="24"/>
          <w:lang w:val="en-US" w:eastAsia="zh-CN"/>
          <w14:textFill>
            <w14:solidFill>
              <w14:schemeClr w14:val="tx1"/>
            </w14:solidFill>
          </w14:textFill>
        </w:rPr>
        <w:t>项目在柳州市环境分区管控图位置</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附图5：项目周边情况图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附图6：区域饮用水源保护区划分图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广西腾汇国营年产10000吨米粉厂入河排污口设置论证报告</w:t>
      </w:r>
    </w:p>
    <w:p>
      <w:pPr>
        <w:widowControl/>
        <w:spacing w:after="120" w:line="540" w:lineRule="exact"/>
        <w:ind w:left="1"/>
        <w:jc w:val="left"/>
        <w:outlineLvl w:val="9"/>
        <w:rPr>
          <w:rFonts w:hint="default" w:ascii="Times New Roman" w:hAnsi="Times New Roman" w:eastAsia="宋体" w:cs="Times New Roman"/>
          <w:b/>
          <w:color w:val="000000" w:themeColor="text1"/>
          <w:sz w:val="30"/>
          <w14:textFill>
            <w14:solidFill>
              <w14:schemeClr w14:val="tx1"/>
            </w14:solidFill>
          </w14:textFill>
        </w:rPr>
      </w:pPr>
      <w:bookmarkStart w:id="6" w:name="_Toc28602"/>
    </w:p>
    <w:p>
      <w:pPr>
        <w:widowControl/>
        <w:spacing w:after="120" w:line="540" w:lineRule="exact"/>
        <w:jc w:val="left"/>
        <w:outlineLvl w:val="0"/>
        <w:rPr>
          <w:rFonts w:hint="default" w:ascii="Times New Roman" w:hAnsi="Times New Roman" w:eastAsia="宋体" w:cs="Times New Roman"/>
          <w:b/>
          <w:color w:val="000000" w:themeColor="text1"/>
          <w:sz w:val="30"/>
          <w14:textFill>
            <w14:solidFill>
              <w14:schemeClr w14:val="tx1"/>
            </w14:solidFill>
          </w14:textFill>
        </w:rPr>
        <w:sectPr>
          <w:footerReference r:id="rId6" w:type="default"/>
          <w:pgSz w:w="11906" w:h="16838"/>
          <w:pgMar w:top="1134" w:right="1531" w:bottom="1134" w:left="1531" w:header="851" w:footer="799" w:gutter="0"/>
          <w:pgNumType w:fmt="numberInDash" w:start="1"/>
          <w:cols w:space="720" w:num="1"/>
          <w:docGrid w:linePitch="312" w:charSpace="0"/>
        </w:sectPr>
      </w:pPr>
    </w:p>
    <w:p>
      <w:pPr>
        <w:widowControl/>
        <w:spacing w:after="120" w:line="540" w:lineRule="exact"/>
        <w:jc w:val="left"/>
        <w:outlineLvl w:val="0"/>
        <w:rPr>
          <w:rFonts w:hint="default" w:ascii="Times New Roman" w:hAnsi="Times New Roman" w:eastAsia="宋体" w:cs="Times New Roman"/>
          <w:b/>
          <w:color w:val="000000" w:themeColor="text1"/>
          <w:sz w:val="30"/>
          <w14:textFill>
            <w14:solidFill>
              <w14:schemeClr w14:val="tx1"/>
            </w14:solidFill>
          </w14:textFill>
        </w:rPr>
      </w:pPr>
      <w:r>
        <w:rPr>
          <w:rFonts w:hint="default" w:ascii="Times New Roman" w:hAnsi="Times New Roman" w:eastAsia="宋体" w:cs="Times New Roman"/>
          <w:b/>
          <w:color w:val="000000" w:themeColor="text1"/>
          <w:sz w:val="30"/>
          <w14:textFill>
            <w14:solidFill>
              <w14:schemeClr w14:val="tx1"/>
            </w14:solidFill>
          </w14:textFill>
        </w:rPr>
        <w:t>一、建设项目基本情况</w:t>
      </w:r>
      <w:bookmarkEnd w:id="6"/>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55"/>
        <w:gridCol w:w="1284"/>
        <w:gridCol w:w="1752"/>
        <w:gridCol w:w="1828"/>
        <w:gridCol w:w="35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建设项目名称</w:t>
            </w:r>
          </w:p>
        </w:tc>
        <w:tc>
          <w:tcPr>
            <w:tcW w:w="4018" w:type="pct"/>
            <w:gridSpan w:val="3"/>
            <w:vAlign w:val="center"/>
          </w:tcPr>
          <w:p>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项目名称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eastAsia" w:cs="Times New Roman"/>
                <w:color w:val="000000" w:themeColor="text1"/>
                <w:sz w:val="24"/>
                <w:lang w:eastAsia="zh-CN"/>
                <w14:textFill>
                  <w14:solidFill>
                    <w14:schemeClr w14:val="tx1"/>
                  </w14:solidFill>
                </w14:textFill>
              </w:rPr>
              <w:t>广西鹿寨县中渡镇全域土地综合整治助推乡村—广西腾汇国营年产10000吨米粉厂建设项目（一期）</w:t>
            </w:r>
            <w:r>
              <w:rPr>
                <w:rFonts w:hint="default" w:ascii="Times New Roman" w:hAnsi="Times New Roman" w:eastAsia="宋体" w:cs="Times New Roman"/>
                <w:color w:val="000000" w:themeColor="text1"/>
                <w:sz w:val="24"/>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3"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项目代码</w:t>
            </w:r>
          </w:p>
        </w:tc>
        <w:tc>
          <w:tcPr>
            <w:tcW w:w="4018" w:type="pct"/>
            <w:gridSpan w:val="3"/>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2309-450223-0401-252438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46"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建设单位联系人</w:t>
            </w:r>
          </w:p>
        </w:tc>
        <w:tc>
          <w:tcPr>
            <w:tcW w:w="98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black"/>
                <w:lang w:val="en-US" w:eastAsia="zh-CN"/>
                <w14:textFill>
                  <w14:solidFill>
                    <w14:schemeClr w14:val="tx1"/>
                  </w14:solidFill>
                </w14:textFill>
              </w:rPr>
              <w:t>奚永斌</w:t>
            </w:r>
          </w:p>
        </w:tc>
        <w:tc>
          <w:tcPr>
            <w:tcW w:w="1031"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联系方式</w:t>
            </w:r>
          </w:p>
        </w:tc>
        <w:tc>
          <w:tcPr>
            <w:tcW w:w="199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black"/>
                <w:lang w:val="en-US" w:eastAsia="zh-CN"/>
                <w14:textFill>
                  <w14:solidFill>
                    <w14:schemeClr w14:val="tx1"/>
                  </w14:solidFill>
                </w14:textFill>
              </w:rPr>
              <w:t>181</w:t>
            </w:r>
            <w:r>
              <w:rPr>
                <w:rFonts w:hint="eastAsia" w:cs="Times New Roman"/>
                <w:color w:val="000000" w:themeColor="text1"/>
                <w:sz w:val="24"/>
                <w:highlight w:val="black"/>
                <w:lang w:val="en-US" w:eastAsia="zh-CN"/>
                <w14:textFill>
                  <w14:solidFill>
                    <w14:schemeClr w14:val="tx1"/>
                  </w14:solidFill>
                </w14:textFill>
              </w:rPr>
              <w:t>07884023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p>
        </w:tc>
        <w:tc>
          <w:tcPr>
            <w:tcW w:w="4018" w:type="pct"/>
            <w:gridSpan w:val="3"/>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柳州市鹿寨县中渡镇马安村下拉屯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地理坐标</w:t>
            </w:r>
          </w:p>
        </w:tc>
        <w:tc>
          <w:tcPr>
            <w:tcW w:w="4018" w:type="pct"/>
            <w:gridSpan w:val="3"/>
            <w:vAlign w:val="center"/>
          </w:tcPr>
          <w:p>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w:t>
            </w:r>
            <w:bookmarkStart w:id="7" w:name="中心位置"/>
            <w:r>
              <w:rPr>
                <w:rFonts w:hint="default" w:ascii="Times New Roman" w:hAnsi="Times New Roman" w:eastAsia="宋体" w:cs="Times New Roman"/>
                <w:color w:val="000000" w:themeColor="text1"/>
                <w:sz w:val="24"/>
                <w:lang w:val="zh-CN"/>
                <w14:textFill>
                  <w14:solidFill>
                    <w14:schemeClr w14:val="tx1"/>
                  </w14:solidFill>
                </w14:textFill>
              </w:rPr>
              <w:t>东经：</w:t>
            </w:r>
            <w:r>
              <w:rPr>
                <w:rFonts w:hint="default" w:ascii="Times New Roman" w:hAnsi="Times New Roman" w:eastAsia="宋体" w:cs="Times New Roman"/>
                <w:color w:val="000000" w:themeColor="text1"/>
                <w:sz w:val="24"/>
                <w:u w:val="single"/>
                <w:lang w:val="zh-CN"/>
                <w14:textFill>
                  <w14:solidFill>
                    <w14:schemeClr w14:val="tx1"/>
                  </w14:solidFill>
                </w14:textFill>
              </w:rPr>
              <w:t>1</w:t>
            </w:r>
            <w:r>
              <w:rPr>
                <w:rFonts w:hint="eastAsia" w:cs="Times New Roman"/>
                <w:color w:val="000000" w:themeColor="text1"/>
                <w:sz w:val="24"/>
                <w:u w:val="single"/>
                <w:lang w:val="en-US" w:eastAsia="zh-CN"/>
                <w14:textFill>
                  <w14:solidFill>
                    <w14:schemeClr w14:val="tx1"/>
                  </w14:solidFill>
                </w14:textFill>
              </w:rPr>
              <w:t>09</w:t>
            </w:r>
            <w:r>
              <w:rPr>
                <w:rFonts w:hint="default" w:ascii="Times New Roman" w:hAnsi="Times New Roman" w:eastAsia="宋体" w:cs="Times New Roman"/>
                <w:color w:val="000000" w:themeColor="text1"/>
                <w:sz w:val="24"/>
                <w:lang w:val="zh-CN"/>
                <w14:textFill>
                  <w14:solidFill>
                    <w14:schemeClr w14:val="tx1"/>
                  </w14:solidFill>
                </w14:textFill>
              </w:rPr>
              <w:t>度</w:t>
            </w:r>
            <w:r>
              <w:rPr>
                <w:rFonts w:hint="eastAsia" w:cs="Times New Roman"/>
                <w:color w:val="000000" w:themeColor="text1"/>
                <w:sz w:val="24"/>
                <w:u w:val="single"/>
                <w:lang w:val="en-US" w:eastAsia="zh-CN"/>
                <w14:textFill>
                  <w14:solidFill>
                    <w14:schemeClr w14:val="tx1"/>
                  </w14:solidFill>
                </w14:textFill>
              </w:rPr>
              <w:t>42</w:t>
            </w:r>
            <w:r>
              <w:rPr>
                <w:rFonts w:hint="default" w:ascii="Times New Roman" w:hAnsi="Times New Roman" w:eastAsia="宋体" w:cs="Times New Roman"/>
                <w:color w:val="000000" w:themeColor="text1"/>
                <w:sz w:val="24"/>
                <w:lang w:val="zh-CN"/>
                <w14:textFill>
                  <w14:solidFill>
                    <w14:schemeClr w14:val="tx1"/>
                  </w14:solidFill>
                </w14:textFill>
              </w:rPr>
              <w:t>分</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3</w:t>
            </w:r>
            <w:r>
              <w:rPr>
                <w:rFonts w:hint="eastAsia" w:cs="Times New Roman"/>
                <w:color w:val="000000" w:themeColor="text1"/>
                <w:sz w:val="24"/>
                <w:u w:val="single"/>
                <w:lang w:val="en-US" w:eastAsia="zh-CN"/>
                <w14:textFill>
                  <w14:solidFill>
                    <w14:schemeClr w14:val="tx1"/>
                  </w14:solidFill>
                </w14:textFill>
              </w:rPr>
              <w:t>4.1209</w:t>
            </w:r>
            <w:r>
              <w:rPr>
                <w:rFonts w:hint="default" w:ascii="Times New Roman" w:hAnsi="Times New Roman" w:eastAsia="宋体" w:cs="Times New Roman"/>
                <w:color w:val="000000" w:themeColor="text1"/>
                <w:sz w:val="24"/>
                <w14:textFill>
                  <w14:solidFill>
                    <w14:schemeClr w14:val="tx1"/>
                  </w14:solidFill>
                </w14:textFill>
              </w:rPr>
              <w:t>秒，北纬</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u w:val="single"/>
                <w:lang w:val="zh-CN"/>
                <w14:textFill>
                  <w14:solidFill>
                    <w14:schemeClr w14:val="tx1"/>
                  </w14:solidFill>
                </w14:textFill>
              </w:rPr>
              <w:t>2</w:t>
            </w:r>
            <w:r>
              <w:rPr>
                <w:rFonts w:hint="eastAsia" w:cs="Times New Roman"/>
                <w:color w:val="000000" w:themeColor="text1"/>
                <w:sz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zh-CN"/>
                <w14:textFill>
                  <w14:solidFill>
                    <w14:schemeClr w14:val="tx1"/>
                  </w14:solidFill>
                </w14:textFill>
              </w:rPr>
              <w:t>度</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w:t>
            </w:r>
            <w:r>
              <w:rPr>
                <w:rFonts w:hint="eastAsia" w:cs="Times New Roman"/>
                <w:color w:val="000000" w:themeColor="text1"/>
                <w:sz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zh-CN"/>
                <w14:textFill>
                  <w14:solidFill>
                    <w14:schemeClr w14:val="tx1"/>
                  </w14:solidFill>
                </w14:textFill>
              </w:rPr>
              <w:t>分</w:t>
            </w:r>
            <w:r>
              <w:rPr>
                <w:rFonts w:hint="eastAsia" w:cs="Times New Roman"/>
                <w:color w:val="000000" w:themeColor="text1"/>
                <w:sz w:val="24"/>
                <w:u w:val="single"/>
                <w:lang w:val="en-US" w:eastAsia="zh-CN"/>
                <w14:textFill>
                  <w14:solidFill>
                    <w14:schemeClr w14:val="tx1"/>
                  </w14:solidFill>
                </w14:textFill>
              </w:rPr>
              <w:t>10.8594</w:t>
            </w:r>
            <w:r>
              <w:rPr>
                <w:rFonts w:hint="default" w:ascii="Times New Roman" w:hAnsi="Times New Roman" w:eastAsia="宋体" w:cs="Times New Roman"/>
                <w:color w:val="000000" w:themeColor="text1"/>
                <w:sz w:val="24"/>
                <w14:textFill>
                  <w14:solidFill>
                    <w14:schemeClr w14:val="tx1"/>
                  </w14:solidFill>
                </w14:textFill>
              </w:rPr>
              <w:t>秒</w:t>
            </w:r>
            <w:bookmarkEnd w:id="7"/>
            <w:r>
              <w:rPr>
                <w:rFonts w:hint="default" w:ascii="Times New Roman" w:hAnsi="Times New Roman" w:eastAsia="宋体" w:cs="Times New Roman"/>
                <w:color w:val="000000" w:themeColor="text1"/>
                <w:sz w:val="24"/>
                <w:lang w:val="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国民经济行业类别</w:t>
            </w:r>
          </w:p>
        </w:tc>
        <w:tc>
          <w:tcPr>
            <w:tcW w:w="988" w:type="pct"/>
            <w:vAlign w:val="center"/>
          </w:tcPr>
          <w:p>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C1431米、面制品制造</w:t>
            </w:r>
          </w:p>
        </w:tc>
        <w:tc>
          <w:tcPr>
            <w:tcW w:w="1031"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bookmarkStart w:id="8" w:name="_Hlk49843745"/>
            <w:r>
              <w:rPr>
                <w:rFonts w:hint="default" w:ascii="Times New Roman" w:hAnsi="Times New Roman" w:eastAsia="宋体"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bookmarkEnd w:id="8"/>
          </w:p>
        </w:tc>
        <w:tc>
          <w:tcPr>
            <w:tcW w:w="1998" w:type="pct"/>
            <w:vAlign w:val="center"/>
          </w:tcPr>
          <w:p>
            <w:pPr>
              <w:adjustRightInd w:val="0"/>
              <w:snapToGrid w:val="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十一、食品制造业14</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1方便食品制造143—除单纯分装外的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p>
        </w:tc>
        <w:tc>
          <w:tcPr>
            <w:tcW w:w="988" w:type="pct"/>
            <w:vAlign w:val="center"/>
          </w:tcPr>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bookmarkStart w:id="9" w:name="建设性质"/>
            <w:r>
              <w:rPr>
                <w:rFonts w:hint="default" w:ascii="Times New Roman" w:hAnsi="Times New Roman" w:eastAsia="宋体" w:cs="Times New Roman"/>
                <w:color w:val="000000" w:themeColor="text1"/>
                <w:sz w:val="24"/>
                <w14:textFill>
                  <w14:solidFill>
                    <w14:schemeClr w14:val="tx1"/>
                  </w14:solidFill>
                </w14:textFill>
              </w:rPr>
              <w:t>新建</w:t>
            </w:r>
            <w:bookmarkEnd w:id="9"/>
            <w:r>
              <w:rPr>
                <w:rFonts w:hint="default" w:ascii="Times New Roman" w:hAnsi="Times New Roman" w:eastAsia="宋体" w:cs="Times New Roman"/>
                <w:color w:val="000000" w:themeColor="text1"/>
                <w:sz w:val="24"/>
                <w14:textFill>
                  <w14:solidFill>
                    <w14:schemeClr w14:val="tx1"/>
                  </w14:solidFill>
                </w14:textFill>
              </w:rPr>
              <w:t>（迁建）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改建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扩建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技术改造</w:t>
            </w:r>
          </w:p>
        </w:tc>
        <w:tc>
          <w:tcPr>
            <w:tcW w:w="1031"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申报情形</w:t>
            </w:r>
          </w:p>
        </w:tc>
        <w:tc>
          <w:tcPr>
            <w:tcW w:w="1998" w:type="pct"/>
            <w:vAlign w:val="center"/>
          </w:tcPr>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r>
              <w:rPr>
                <w:rFonts w:hint="default" w:ascii="Times New Roman" w:hAnsi="Times New Roman" w:eastAsia="宋体" w:cs="Times New Roman"/>
                <w:color w:val="000000" w:themeColor="text1"/>
                <w:sz w:val="24"/>
                <w14:textFill>
                  <w14:solidFill>
                    <w14:schemeClr w14:val="tx1"/>
                  </w14:solidFill>
                </w14:textFill>
              </w:rPr>
              <w:t xml:space="preserve">首次申报项目             </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不予批准后再次申报项目</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超五年重新审核项目     </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项目审批（核准/备案）部门（选填）</w:t>
            </w:r>
          </w:p>
        </w:tc>
        <w:tc>
          <w:tcPr>
            <w:tcW w:w="98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c>
          <w:tcPr>
            <w:tcW w:w="1031"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备案）文号（选填）</w:t>
            </w:r>
          </w:p>
        </w:tc>
        <w:tc>
          <w:tcPr>
            <w:tcW w:w="199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2309-450223-0401-252438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26"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总投资（万元）</w:t>
            </w:r>
          </w:p>
        </w:tc>
        <w:tc>
          <w:tcPr>
            <w:tcW w:w="98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3413.53</w:t>
            </w:r>
          </w:p>
        </w:tc>
        <w:tc>
          <w:tcPr>
            <w:tcW w:w="1031"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环保投资（万元）</w:t>
            </w:r>
          </w:p>
        </w:tc>
        <w:tc>
          <w:tcPr>
            <w:tcW w:w="199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shd w:val="clear"/>
                <w:lang w:val="en-US" w:eastAsia="zh-CN"/>
                <w14:textFill>
                  <w14:solidFill>
                    <w14:schemeClr w14:val="tx1"/>
                  </w14:solidFill>
                </w14:textFill>
              </w:rPr>
              <w:t>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环保投资占比（%）</w:t>
            </w:r>
          </w:p>
        </w:tc>
        <w:tc>
          <w:tcPr>
            <w:tcW w:w="98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shd w:val="clear"/>
                <w:lang w:val="en-US" w:eastAsia="zh-CN"/>
                <w14:textFill>
                  <w14:solidFill>
                    <w14:schemeClr w14:val="tx1"/>
                  </w14:solidFill>
                </w14:textFill>
              </w:rPr>
              <w:t>1.99</w:t>
            </w:r>
          </w:p>
        </w:tc>
        <w:tc>
          <w:tcPr>
            <w:tcW w:w="1031"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1998"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12个月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是否开工建设</w:t>
            </w:r>
          </w:p>
        </w:tc>
        <w:tc>
          <w:tcPr>
            <w:tcW w:w="4018" w:type="pct"/>
            <w:gridSpan w:val="3"/>
            <w:vAlign w:val="center"/>
          </w:tcPr>
          <w:p>
            <w:pPr>
              <w:adjustRightInd w:val="0"/>
              <w:snapToGrid w:val="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r>
              <w:rPr>
                <w:rFonts w:hint="default" w:ascii="Times New Roman" w:hAnsi="Times New Roman" w:eastAsia="宋体" w:cs="Times New Roman"/>
                <w:color w:val="000000" w:themeColor="text1"/>
                <w:sz w:val="24"/>
                <w14:textFill>
                  <w14:solidFill>
                    <w14:schemeClr w14:val="tx1"/>
                  </w14:solidFill>
                </w14:textFill>
              </w:rPr>
              <w:t>否</w:t>
            </w:r>
          </w:p>
          <w:p>
            <w:pPr>
              <w:adjustRightInd w:val="0"/>
              <w:snapToGrid w:val="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 xml:space="preserve">是：    </w:t>
            </w:r>
            <w:r>
              <w:rPr>
                <w:rFonts w:hint="default" w:ascii="Times New Roman" w:hAnsi="Times New Roman" w:eastAsia="宋体" w:cs="Times New Roman"/>
                <w:color w:val="000000" w:themeColor="text1"/>
                <w:sz w:val="24"/>
                <w:u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67" w:hRule="atLeast"/>
          <w:jc w:val="center"/>
        </w:trPr>
        <w:tc>
          <w:tcPr>
            <w:tcW w:w="981" w:type="pct"/>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面积（m</w:t>
            </w:r>
            <w:r>
              <w:rPr>
                <w:rFonts w:hint="default" w:ascii="Times New Roman" w:hAnsi="Times New Roman" w:eastAsia="宋体" w:cs="Times New Roman"/>
                <w:color w:val="000000" w:themeColor="text1"/>
                <w:spacing w:val="-6"/>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14:textFill>
                  <w14:solidFill>
                    <w14:schemeClr w14:val="tx1"/>
                  </w14:solidFill>
                </w14:textFill>
              </w:rPr>
              <w:t>）</w:t>
            </w:r>
          </w:p>
        </w:tc>
        <w:tc>
          <w:tcPr>
            <w:tcW w:w="4018" w:type="pct"/>
            <w:gridSpan w:val="3"/>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pacing w:val="-6"/>
                <w:sz w:val="24"/>
                <w:lang w:val="en-US" w:eastAsia="zh-CN"/>
                <w14:textFill>
                  <w14:solidFill>
                    <w14:schemeClr w14:val="tx1"/>
                  </w14:solidFill>
                </w14:textFill>
              </w:rPr>
              <w:t>10232.7（15.35亩）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67" w:hRule="atLeast"/>
          <w:jc w:val="center"/>
        </w:trPr>
        <w:tc>
          <w:tcPr>
            <w:tcW w:w="981" w:type="pct"/>
            <w:gridSpan w:val="2"/>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专项评价设置情况</w:t>
            </w:r>
          </w:p>
        </w:tc>
        <w:tc>
          <w:tcPr>
            <w:tcW w:w="4018" w:type="pct"/>
            <w:gridSpan w:val="3"/>
            <w:vAlign w:val="center"/>
          </w:tcPr>
          <w:p>
            <w:pPr>
              <w:autoSpaceDE w:val="0"/>
              <w:autoSpaceDN w:val="0"/>
              <w:adjustRightIn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表1-1专题设置情况一览表</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70"/>
              <w:gridCol w:w="3296"/>
              <w:gridCol w:w="1693"/>
              <w:gridCol w:w="9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专项评价的类别</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设置原则</w:t>
                  </w:r>
                </w:p>
              </w:tc>
              <w:tc>
                <w:tcPr>
                  <w:tcW w:w="1807" w:type="dxa"/>
                  <w:vAlign w:val="center"/>
                </w:tcPr>
                <w:p>
                  <w:pPr>
                    <w:autoSpaceDE w:val="0"/>
                    <w:autoSpaceDN w:val="0"/>
                    <w:adjustRightInd w:val="0"/>
                    <w:snapToGrid w:val="0"/>
                    <w:spacing w:line="340" w:lineRule="exact"/>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本项目情况</w:t>
                  </w:r>
                </w:p>
              </w:tc>
              <w:tc>
                <w:tcPr>
                  <w:tcW w:w="1010" w:type="dxa"/>
                  <w:vAlign w:val="center"/>
                </w:tcPr>
                <w:p>
                  <w:pPr>
                    <w:autoSpaceDE w:val="0"/>
                    <w:autoSpaceDN w:val="0"/>
                    <w:adjustRightInd w:val="0"/>
                    <w:snapToGrid w:val="0"/>
                    <w:spacing w:line="340" w:lineRule="exact"/>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设置情况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大气</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排放废气含有毒有害污染物</w:t>
                  </w:r>
                  <w:r>
                    <w:rPr>
                      <w:rFonts w:hint="default" w:ascii="Times New Roman" w:hAnsi="Times New Roman" w:eastAsia="宋体" w:cs="Times New Roman"/>
                      <w:color w:val="000000"/>
                      <w:kern w:val="0"/>
                      <w:szCs w:val="21"/>
                      <w:vertAlign w:val="superscript"/>
                    </w:rPr>
                    <w:t>1</w:t>
                  </w:r>
                  <w:r>
                    <w:rPr>
                      <w:rFonts w:hint="default" w:ascii="Times New Roman" w:hAnsi="Times New Roman" w:eastAsia="宋体" w:cs="Times New Roman"/>
                      <w:color w:val="000000"/>
                      <w:kern w:val="0"/>
                      <w:szCs w:val="21"/>
                    </w:rPr>
                    <w:t>、二噁英、苯并[a]芘、氰化物、氯气且厂界外500米范围内有环境空气保护目标</w:t>
                  </w:r>
                  <w:r>
                    <w:rPr>
                      <w:rFonts w:hint="default" w:ascii="Times New Roman" w:hAnsi="Times New Roman" w:eastAsia="宋体" w:cs="Times New Roman"/>
                      <w:color w:val="000000"/>
                      <w:kern w:val="0"/>
                      <w:szCs w:val="21"/>
                      <w:vertAlign w:val="superscript"/>
                    </w:rPr>
                    <w:t>2</w:t>
                  </w:r>
                  <w:r>
                    <w:rPr>
                      <w:rFonts w:hint="default" w:ascii="Times New Roman" w:hAnsi="Times New Roman" w:eastAsia="宋体" w:cs="Times New Roman"/>
                      <w:color w:val="000000"/>
                      <w:kern w:val="0"/>
                      <w:szCs w:val="21"/>
                    </w:rPr>
                    <w:t>的建设项目</w:t>
                  </w:r>
                </w:p>
              </w:tc>
              <w:tc>
                <w:tcPr>
                  <w:tcW w:w="1807"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不排放有毒有害污染物、二噁英、苯并[a]芘、氰化物、氯气</w:t>
                  </w:r>
                </w:p>
              </w:tc>
              <w:tc>
                <w:tcPr>
                  <w:tcW w:w="1010"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不需设置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地表水</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新增工业废水直排建设项目（槽罐车外送污水处理厂的除外）；新增废水直排的污水集中处理厂</w:t>
                  </w:r>
                </w:p>
              </w:tc>
              <w:tc>
                <w:tcPr>
                  <w:tcW w:w="1807" w:type="dxa"/>
                  <w:shd w:val="clear" w:color="auto" w:fill="auto"/>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lang w:val="en-US"/>
                    </w:rPr>
                  </w:pPr>
                  <w:r>
                    <w:rPr>
                      <w:rFonts w:hint="default" w:ascii="Times New Roman" w:hAnsi="Times New Roman" w:eastAsia="宋体" w:cs="Times New Roman"/>
                      <w:color w:val="000000"/>
                      <w:kern w:val="0"/>
                      <w:szCs w:val="21"/>
                    </w:rPr>
                    <w:t>本项目废水</w:t>
                  </w:r>
                  <w:r>
                    <w:rPr>
                      <w:rFonts w:hint="eastAsia" w:cs="Times New Roman"/>
                      <w:color w:val="000000"/>
                      <w:kern w:val="0"/>
                      <w:szCs w:val="21"/>
                      <w:lang w:val="en-US" w:eastAsia="zh-CN"/>
                    </w:rPr>
                    <w:t>处理达标后排入附近河道</w:t>
                  </w:r>
                </w:p>
              </w:tc>
              <w:tc>
                <w:tcPr>
                  <w:tcW w:w="1010" w:type="dxa"/>
                  <w:shd w:val="clear" w:color="auto" w:fill="auto"/>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需设置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环境风险</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有毒有害和易燃易爆危险物质存储量超过临界量的建设项目</w:t>
                  </w:r>
                </w:p>
              </w:tc>
              <w:tc>
                <w:tcPr>
                  <w:tcW w:w="1807"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本项目Q＜1</w:t>
                  </w:r>
                </w:p>
              </w:tc>
              <w:tc>
                <w:tcPr>
                  <w:tcW w:w="1010"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不需设置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生态</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取水口下游500米范围内有重要水生生物的自然产卵场、索饵场、越冬场和洄游通道的新增河道取水的污染类建设项目</w:t>
                  </w:r>
                </w:p>
              </w:tc>
              <w:tc>
                <w:tcPr>
                  <w:tcW w:w="1807"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本项目不属于新增河道取水等项目</w:t>
                  </w:r>
                </w:p>
              </w:tc>
              <w:tc>
                <w:tcPr>
                  <w:tcW w:w="1010"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不需设置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31"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海洋</w:t>
                  </w:r>
                </w:p>
              </w:tc>
              <w:tc>
                <w:tcPr>
                  <w:tcW w:w="3525"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直接向海排放污染物的海洋工程建设项目</w:t>
                  </w:r>
                </w:p>
              </w:tc>
              <w:tc>
                <w:tcPr>
                  <w:tcW w:w="1807"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本项目不属于直接向海排放污染物的海洋工程建设项目</w:t>
                  </w:r>
                </w:p>
              </w:tc>
              <w:tc>
                <w:tcPr>
                  <w:tcW w:w="1010" w:type="dxa"/>
                  <w:vAlign w:val="center"/>
                </w:tcPr>
                <w:p>
                  <w:pPr>
                    <w:autoSpaceDE w:val="0"/>
                    <w:autoSpaceDN w:val="0"/>
                    <w:adjustRightInd w:val="0"/>
                    <w:snapToGrid w:val="0"/>
                    <w:spacing w:line="34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不需设置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373" w:type="dxa"/>
                  <w:gridSpan w:val="4"/>
                  <w:vAlign w:val="center"/>
                </w:tcPr>
                <w:p>
                  <w:pPr>
                    <w:autoSpaceDE w:val="0"/>
                    <w:autoSpaceDN w:val="0"/>
                    <w:adjustRightInd w:val="0"/>
                    <w:snapToGrid w:val="0"/>
                    <w:spacing w:line="340" w:lineRule="exact"/>
                    <w:jc w:val="left"/>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注：1.废气中有毒有害污染物指纳入《有毒有害大气污染物名录》的污染物（不包括无排放标准的污染物）。</w:t>
                  </w:r>
                </w:p>
                <w:p>
                  <w:pPr>
                    <w:autoSpaceDE w:val="0"/>
                    <w:autoSpaceDN w:val="0"/>
                    <w:adjustRightInd w:val="0"/>
                    <w:snapToGrid w:val="0"/>
                    <w:spacing w:line="340" w:lineRule="exact"/>
                    <w:jc w:val="left"/>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2.环境空气保护目标指自然保护区、风景名胜区、居住区、文化区和农村地区中人群较集中的区域。</w:t>
                  </w:r>
                </w:p>
                <w:p>
                  <w:pPr>
                    <w:autoSpaceDE w:val="0"/>
                    <w:autoSpaceDN w:val="0"/>
                    <w:adjustRightInd w:val="0"/>
                    <w:snapToGrid w:val="0"/>
                    <w:spacing w:line="340" w:lineRule="exact"/>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rPr>
                    <w:t>3.临界量及其计算方法可参考《建设项目风险评价技术导则》（HJ169）附录B、附录C。</w:t>
                  </w:r>
                </w:p>
              </w:tc>
            </w:tr>
          </w:tbl>
          <w:p>
            <w:pPr>
              <w:spacing w:before="120" w:beforeLines="50"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sz w:val="24"/>
              </w:rPr>
              <w:t>根据上表可知，本项目需要设置</w:t>
            </w:r>
            <w:r>
              <w:rPr>
                <w:rFonts w:hint="eastAsia" w:cs="Times New Roman"/>
                <w:sz w:val="24"/>
                <w:lang w:val="en-US" w:eastAsia="zh-CN"/>
              </w:rPr>
              <w:t>地表水</w:t>
            </w:r>
            <w:r>
              <w:rPr>
                <w:rFonts w:hint="default" w:ascii="Times New Roman" w:hAnsi="Times New Roman" w:eastAsia="宋体" w:cs="Times New Roman"/>
                <w:color w:val="000000"/>
                <w:sz w:val="24"/>
              </w:rPr>
              <w:t>专项评价。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981" w:type="pct"/>
            <w:gridSpan w:val="2"/>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4018" w:type="pct"/>
            <w:gridSpan w:val="3"/>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81" w:type="pct"/>
            <w:gridSpan w:val="2"/>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规划环境影响评价情况</w:t>
            </w:r>
          </w:p>
        </w:tc>
        <w:tc>
          <w:tcPr>
            <w:tcW w:w="4018"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7" w:hRule="atLeast"/>
          <w:jc w:val="center"/>
        </w:trPr>
        <w:tc>
          <w:tcPr>
            <w:tcW w:w="981" w:type="pct"/>
            <w:gridSpan w:val="2"/>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规划及规划环境影响评价符合性分析</w:t>
            </w:r>
          </w:p>
        </w:tc>
        <w:tc>
          <w:tcPr>
            <w:tcW w:w="4018" w:type="pct"/>
            <w:gridSpan w:val="3"/>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center"/>
              <w:rPr>
                <w:rFonts w:hint="eastAsia" w:eastAsia="宋体"/>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57" w:type="pct"/>
            <w:vAlign w:val="center"/>
          </w:tcPr>
          <w:p>
            <w:pPr>
              <w:autoSpaceDE w:val="0"/>
              <w:autoSpaceDN w:val="0"/>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其他符合</w:t>
            </w:r>
          </w:p>
          <w:p>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性分析</w:t>
            </w:r>
          </w:p>
        </w:tc>
        <w:tc>
          <w:tcPr>
            <w:tcW w:w="4742" w:type="pct"/>
            <w:gridSpan w:val="4"/>
            <w:vAlign w:val="center"/>
          </w:tcPr>
          <w:p>
            <w:pPr>
              <w:kinsoku/>
              <w:wordWrap w:val="0"/>
              <w:topLinePunct/>
              <w:autoSpaceDN/>
              <w:adjustRightInd/>
              <w:snapToGrid/>
              <w:spacing w:line="360" w:lineRule="auto"/>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1</w:t>
            </w:r>
            <w:r>
              <w:rPr>
                <w:rFonts w:hint="default" w:ascii="Times New Roman" w:hAnsi="Times New Roman" w:eastAsia="宋体" w:cs="Times New Roman"/>
                <w:color w:val="000000" w:themeColor="text1"/>
                <w:spacing w:val="4"/>
                <w:sz w:val="24"/>
                <w:szCs w:val="24"/>
                <w14:textOutline w14:w="4356" w14:cap="sq" w14:cmpd="sng">
                  <w14:solidFill>
                    <w14:srgbClr w14:val="000000"/>
                  </w14:solidFill>
                  <w14:prstDash w14:val="solid"/>
                  <w14:bevel/>
                </w14:textOutline>
                <w14:textFill>
                  <w14:solidFill>
                    <w14:schemeClr w14:val="tx1"/>
                  </w14:solidFill>
                </w14:textFill>
              </w:rPr>
              <w:t>、</w:t>
            </w:r>
            <w:r>
              <w:rPr>
                <w:rFonts w:hint="default" w:ascii="Times New Roman" w:hAnsi="Times New Roman" w:eastAsia="宋体" w:cs="Times New Roman"/>
                <w:color w:val="000000" w:themeColor="text1"/>
                <w:spacing w:val="2"/>
                <w:sz w:val="24"/>
                <w:szCs w:val="24"/>
                <w14:textOutline w14:w="4356" w14:cap="sq" w14:cmpd="sng">
                  <w14:solidFill>
                    <w14:srgbClr w14:val="000000"/>
                  </w14:solidFill>
                  <w14:prstDash w14:val="solid"/>
                  <w14:bevel/>
                </w14:textOutline>
                <w14:textFill>
                  <w14:solidFill>
                    <w14:schemeClr w14:val="tx1"/>
                  </w14:solidFill>
                </w14:textFill>
              </w:rPr>
              <w:t>产业政策的符合性分析</w:t>
            </w:r>
          </w:p>
          <w:p>
            <w:pPr>
              <w:kinsoku/>
              <w:wordWrap w:val="0"/>
              <w:topLinePunct/>
              <w:autoSpaceDE/>
              <w:autoSpaceDN/>
              <w:adjustRightInd/>
              <w:snapToGrid/>
              <w:spacing w:line="360" w:lineRule="auto"/>
              <w:ind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本项目为米粉加工，对照《产业结构调整指导目录</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14:textFill>
                  <w14:solidFill>
                    <w14:schemeClr w14:val="tx1"/>
                  </w14:solidFill>
                </w14:textFill>
              </w:rPr>
              <w:t>年本</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》，本项目不属于“鼓励类”、“限制类”和“淘汰类”项目，</w:t>
            </w:r>
            <w:r>
              <w:rPr>
                <w:rFonts w:hint="default" w:ascii="Times New Roman" w:hAnsi="Times New Roman" w:eastAsia="宋体" w:cs="Times New Roman"/>
                <w:color w:val="000000" w:themeColor="text1"/>
                <w:sz w:val="24"/>
                <w:lang w:val="en-US" w:eastAsia="zh-CN"/>
                <w14:textFill>
                  <w14:solidFill>
                    <w14:schemeClr w14:val="tx1"/>
                  </w14:solidFill>
                </w14:textFill>
              </w:rPr>
              <w:t>视为</w:t>
            </w:r>
            <w:r>
              <w:rPr>
                <w:rFonts w:hint="default" w:ascii="Times New Roman" w:hAnsi="Times New Roman" w:eastAsia="宋体" w:cs="Times New Roman"/>
                <w:color w:val="000000" w:themeColor="text1"/>
                <w:sz w:val="24"/>
                <w14:textFill>
                  <w14:solidFill>
                    <w14:schemeClr w14:val="tx1"/>
                  </w14:solidFill>
                </w14:textFill>
              </w:rPr>
              <w:t>允许类项目，</w:t>
            </w:r>
            <w:r>
              <w:rPr>
                <w:rFonts w:hint="default" w:ascii="Times New Roman" w:hAnsi="Times New Roman" w:eastAsia="宋体" w:cs="Times New Roman"/>
                <w:color w:val="000000" w:themeColor="text1"/>
                <w:sz w:val="24"/>
                <w:lang w:val="en-US" w:eastAsia="zh-CN"/>
                <w14:textFill>
                  <w14:solidFill>
                    <w14:schemeClr w14:val="tx1"/>
                  </w14:solidFill>
                </w14:textFill>
              </w:rPr>
              <w:t>加工</w:t>
            </w:r>
            <w:r>
              <w:rPr>
                <w:rFonts w:hint="default" w:ascii="Times New Roman" w:hAnsi="Times New Roman" w:eastAsia="宋体" w:cs="Times New Roman"/>
                <w:color w:val="000000" w:themeColor="text1"/>
                <w:sz w:val="24"/>
                <w14:textFill>
                  <w14:solidFill>
                    <w14:schemeClr w14:val="tx1"/>
                  </w14:solidFill>
                </w14:textFill>
              </w:rPr>
              <w:t>工艺中所使用的设备，未列入国家淘汰类和限制类设备产品目录，本项目</w:t>
            </w:r>
            <w:r>
              <w:rPr>
                <w:rFonts w:hint="default" w:ascii="Times New Roman" w:hAnsi="Times New Roman" w:eastAsia="宋体" w:cs="Times New Roman"/>
                <w:color w:val="000000" w:themeColor="text1"/>
                <w:sz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14:textFill>
                  <w14:solidFill>
                    <w14:schemeClr w14:val="tx1"/>
                  </w14:solidFill>
                </w14:textFill>
              </w:rPr>
              <w:t>符合国家和地方产业政策相关规定。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u w:val="none"/>
              </w:rPr>
            </w:pPr>
            <w:r>
              <w:rPr>
                <w:rFonts w:hint="eastAsia"/>
                <w:b/>
                <w:bCs/>
                <w:color w:val="auto"/>
                <w:sz w:val="24"/>
                <w:szCs w:val="24"/>
                <w:highlight w:val="none"/>
                <w:u w:val="none"/>
                <w:lang w:val="en-US" w:eastAsia="zh-CN"/>
              </w:rPr>
              <w:t>2、</w:t>
            </w:r>
            <w:r>
              <w:rPr>
                <w:rFonts w:hint="eastAsia" w:ascii="宋体" w:hAnsi="宋体" w:eastAsia="宋体" w:cs="宋体"/>
                <w:b/>
                <w:bCs/>
                <w:color w:val="auto"/>
                <w:sz w:val="24"/>
                <w:szCs w:val="24"/>
                <w:highlight w:val="none"/>
                <w:u w:val="none"/>
              </w:rPr>
              <w:t>“三线一单”</w:t>
            </w:r>
            <w:r>
              <w:rPr>
                <w:b/>
                <w:bCs/>
                <w:color w:val="auto"/>
                <w:sz w:val="24"/>
                <w:szCs w:val="24"/>
                <w:highlight w:val="none"/>
                <w:u w:val="none"/>
              </w:rPr>
              <w:t>符合性分析</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rPr>
              <w:t>（1）生态保护红线</w:t>
            </w:r>
            <w:r>
              <w:rPr>
                <w:rFonts w:hint="eastAsia" w:ascii="Times New Roman" w:hAnsi="Times New Roman" w:eastAsia="宋体" w:cs="Times New Roman"/>
                <w:b/>
                <w:bCs/>
                <w:color w:val="auto"/>
                <w:sz w:val="24"/>
                <w:szCs w:val="24"/>
                <w:highlight w:val="none"/>
                <w:u w:val="none"/>
                <w:lang w:val="en-US" w:eastAsia="zh-CN"/>
              </w:rPr>
              <w:t>符合性</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根据《柳州市人民政府关于“三线一单”生态环境分区管控的实施意见》（柳政规〔2021〕13号），全市共划定环境管控单元97个，分为优先保护单元、重点管控单元和一般管控单元三类，实施分类管控。</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优先保护单元主要包括生态保护红线、一般生态空间、县级以上饮用水水源保护区、环境空气一类功能区等生态功能区域；全市划定优先保护单元49个。重点管控单元主要包括工业</w:t>
            </w:r>
            <w:r>
              <w:rPr>
                <w:rFonts w:hint="eastAsia" w:cs="Times New Roman"/>
                <w:color w:val="auto"/>
                <w:sz w:val="24"/>
                <w:szCs w:val="24"/>
                <w:highlight w:val="none"/>
                <w:u w:val="none"/>
                <w:lang w:eastAsia="zh-CN"/>
              </w:rPr>
              <w:t>厂区</w:t>
            </w:r>
            <w:r>
              <w:rPr>
                <w:rFonts w:hint="eastAsia" w:ascii="Times New Roman" w:hAnsi="Times New Roman" w:eastAsia="宋体" w:cs="Times New Roman"/>
                <w:color w:val="auto"/>
                <w:sz w:val="24"/>
                <w:szCs w:val="24"/>
                <w:highlight w:val="none"/>
                <w:u w:val="none"/>
              </w:rPr>
              <w:t>、县级以上城镇中心城区及规划区、矿产开采区、港区等开发强度高、污染物排放强度大的区域，以及环境问题相对集中的区域；全市划定重点管控单元39个。一般管控单元为优先保护单元、重点管控单元以外的区域，衔接乡镇边界形成管控单元；全市划定一般管控单元9个。</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表1-1  柳州市鹿寨县环境管控单元名录</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21"/>
              <w:gridCol w:w="1054"/>
              <w:gridCol w:w="5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行政区域</w:t>
                  </w:r>
                </w:p>
              </w:tc>
              <w:tc>
                <w:tcPr>
                  <w:tcW w:w="563"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单元总数</w:t>
                  </w:r>
                </w:p>
              </w:tc>
              <w:tc>
                <w:tcPr>
                  <w:tcW w:w="64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环境管控单元分类</w:t>
                  </w: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环境管控单元名称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restar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鹿寨县</w:t>
                  </w:r>
                </w:p>
              </w:tc>
              <w:tc>
                <w:tcPr>
                  <w:tcW w:w="563" w:type="pct"/>
                  <w:vMerge w:val="restar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16个</w:t>
                  </w:r>
                </w:p>
              </w:tc>
              <w:tc>
                <w:tcPr>
                  <w:tcW w:w="644" w:type="pct"/>
                  <w:vMerge w:val="restar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优先保护单元</w:t>
                  </w: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广西柳州拉沟自治区级自然保护区生态保护红线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广西柳州洛清江自治区级森林公园生态保护红线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广西鹿寨香桥岩溶国家地质公园生态保护红线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桂北山地水源涵养与生物多样性维护生态保护红线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架桥岭-大瑶山水源涵养与生物多样性维护生态保护红线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柳江-黔江流域水源涵养生态保护红线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融安-鹿寨-永福岩溶山地水土保持生态保护红线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湘江-桂江流域水源涵养生态保护红线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柳州市古偿河饮用水保护区一般生态空间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鹿寨县县城饮用水水源保护区一般生态空间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鹿寨县其他优先保护单元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restar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重点管控单元</w:t>
                  </w: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广西鹿寨经济开发区重点管控单元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鹿寨县城镇空间重点管控单元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鹿寨县布局敏感区重点管控单元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鹿寨县其他重点管控单元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63" w:type="pct"/>
                  <w:vMerge w:val="continue"/>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4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一般管控单元</w:t>
                  </w:r>
                </w:p>
              </w:tc>
              <w:tc>
                <w:tcPr>
                  <w:tcW w:w="3294" w:type="pct"/>
                  <w:noWrap w:val="0"/>
                  <w:vAlign w:val="center"/>
                </w:tcPr>
                <w:p>
                  <w:pPr>
                    <w:keepNext w:val="0"/>
                    <w:keepLines w:val="0"/>
                    <w:pageBreakBefore w:val="0"/>
                    <w:widowControl w:val="0"/>
                    <w:tabs>
                      <w:tab w:val="left" w:pos="624"/>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鹿寨县一般管控单元</w:t>
                  </w:r>
                </w:p>
              </w:tc>
            </w:tr>
          </w:tbl>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项目位于鹿寨县一般管控单元，不在红线范围内，周边无优先保护单元。</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柳州市人民政府关于“三线一单”生态环境分区管控的实施意见》（柳政规〔2021〕13号），在鹿寨县一般管控单元内，根据单元内生态环境质量目标和资源环境管控要求，结合经济社会发展水平，按照差别化的生态环境准入要求，优化空间和产业布局，加强污染物排放控制和环境风险防控，不断提升资源开发利用效率，解决局部生态环境质量不达标、生态环境风险高的问题。</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项目所在地不属于生态保护红线管控区范围，项目的建设符合生态保护红线要求。</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（2）环境质量底线</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w:t>
            </w:r>
            <w:r>
              <w:rPr>
                <w:rFonts w:hint="eastAsia" w:cs="Times New Roman"/>
                <w:color w:val="auto"/>
                <w:sz w:val="24"/>
                <w:szCs w:val="24"/>
                <w:highlight w:val="none"/>
                <w:u w:val="none"/>
                <w:lang w:val="en-US" w:eastAsia="zh-CN"/>
              </w:rPr>
              <w:t>广西壮族自治区</w:t>
            </w:r>
            <w:r>
              <w:rPr>
                <w:rFonts w:hint="eastAsia" w:ascii="Times New Roman" w:hAnsi="Times New Roman" w:eastAsia="宋体" w:cs="Times New Roman"/>
                <w:color w:val="auto"/>
                <w:sz w:val="24"/>
                <w:szCs w:val="24"/>
                <w:highlight w:val="none"/>
                <w:u w:val="none"/>
              </w:rPr>
              <w:t>生态环境</w:t>
            </w:r>
            <w:r>
              <w:rPr>
                <w:rFonts w:hint="eastAsia" w:cs="Times New Roman"/>
                <w:color w:val="auto"/>
                <w:sz w:val="24"/>
                <w:szCs w:val="24"/>
                <w:highlight w:val="none"/>
                <w:u w:val="none"/>
                <w:lang w:val="en-US" w:eastAsia="zh-CN"/>
              </w:rPr>
              <w:t>厅</w:t>
            </w:r>
            <w:r>
              <w:rPr>
                <w:rFonts w:hint="eastAsia" w:ascii="Times New Roman" w:hAnsi="Times New Roman" w:eastAsia="宋体" w:cs="Times New Roman"/>
                <w:color w:val="auto"/>
                <w:sz w:val="24"/>
                <w:szCs w:val="24"/>
                <w:highlight w:val="none"/>
                <w:u w:val="none"/>
              </w:rPr>
              <w:t>网站公布</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的《自治区生态环境厅关于通报2023年设区市及各县（市、区）环境空气质量的函》（桂环函[2024]58号），鹿寨县环境空气质量监测项目中二氧化硫年均浓度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，二氧化氮年均浓度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，可吸入颗粒物（PM</w:t>
            </w:r>
            <w:r>
              <w:rPr>
                <w:rFonts w:hint="eastAsia" w:ascii="Times New Roman" w:hAnsi="Times New Roman" w:eastAsia="宋体" w:cs="Times New Roman"/>
                <w:color w:val="000000" w:themeColor="text1"/>
                <w:sz w:val="24"/>
                <w:szCs w:val="24"/>
                <w:highlight w:val="none"/>
                <w:u w:val="none"/>
                <w:vertAlign w:val="subscript"/>
                <w14:textFill>
                  <w14:solidFill>
                    <w14:schemeClr w14:val="tx1"/>
                  </w14:solidFill>
                </w14:textFill>
              </w:rPr>
              <w:t>10</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）年均浓度4</w:t>
            </w:r>
            <w:r>
              <w:rPr>
                <w:rFonts w:hint="eastAsia" w:cs="Times New Roman"/>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，一氧化碳24小时平均第95百位数1.0µg/m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cs="Times New Roman"/>
                <w:color w:val="000000" w:themeColor="text1"/>
                <w:sz w:val="24"/>
                <w:szCs w:val="24"/>
                <w:highlight w:val="none"/>
                <w:u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臭氧日最大8小时滑动平均值的第90百位数为1</w:t>
            </w:r>
            <w:r>
              <w:rPr>
                <w:rFonts w:hint="eastAsia" w:cs="Times New Roman"/>
                <w:color w:val="000000" w:themeColor="text1"/>
                <w:sz w:val="24"/>
                <w:szCs w:val="24"/>
                <w:highlight w:val="none"/>
                <w:u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，细颗粒物（PM</w:t>
            </w:r>
            <w:r>
              <w:rPr>
                <w:rFonts w:hint="eastAsia" w:ascii="Times New Roman" w:hAnsi="Times New Roman" w:eastAsia="宋体" w:cs="Times New Roman"/>
                <w:color w:val="000000" w:themeColor="text1"/>
                <w:sz w:val="24"/>
                <w:szCs w:val="24"/>
                <w:highlight w:val="none"/>
                <w:u w:val="none"/>
                <w:vertAlign w:val="subscript"/>
                <w14:textFill>
                  <w14:solidFill>
                    <w14:schemeClr w14:val="tx1"/>
                  </w14:solidFill>
                </w14:textFill>
              </w:rPr>
              <w:t>2.5</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w:t>
            </w:r>
            <w:r>
              <w:rPr>
                <w:rFonts w:hint="eastAsia" w:cs="Times New Roman"/>
                <w:color w:val="000000" w:themeColor="text1"/>
                <w:sz w:val="24"/>
                <w:szCs w:val="24"/>
                <w:highlight w:val="none"/>
                <w:u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，均达到《环境空气质量标准》（GB3095-2012）及其修改单二级标准要求</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属于达标区</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w:t>
            </w:r>
            <w:r>
              <w:rPr>
                <w:rFonts w:hint="eastAsia" w:ascii="Times New Roman" w:hAnsi="Times New Roman" w:eastAsia="宋体" w:cs="Times New Roman"/>
                <w:color w:val="auto"/>
                <w:sz w:val="24"/>
                <w:szCs w:val="24"/>
                <w:highlight w:val="none"/>
                <w:u w:val="none"/>
              </w:rPr>
              <w:t>距离项目最近的地表水体为项目</w:t>
            </w:r>
            <w:r>
              <w:rPr>
                <w:rFonts w:hint="eastAsia" w:cs="Times New Roman"/>
                <w:color w:val="auto"/>
                <w:sz w:val="24"/>
                <w:szCs w:val="24"/>
                <w:highlight w:val="none"/>
                <w:u w:val="none"/>
                <w:lang w:val="en-US" w:eastAsia="zh-CN"/>
              </w:rPr>
              <w:t>东</w:t>
            </w:r>
            <w:r>
              <w:rPr>
                <w:rFonts w:hint="eastAsia" w:ascii="Times New Roman" w:hAnsi="Times New Roman" w:eastAsia="宋体" w:cs="Times New Roman"/>
                <w:color w:val="auto"/>
                <w:sz w:val="24"/>
                <w:szCs w:val="24"/>
                <w:highlight w:val="none"/>
                <w:u w:val="none"/>
              </w:rPr>
              <w:t>面</w:t>
            </w:r>
            <w:r>
              <w:rPr>
                <w:rFonts w:hint="eastAsia" w:cs="Times New Roman"/>
                <w:color w:val="auto"/>
                <w:sz w:val="24"/>
                <w:szCs w:val="24"/>
                <w:highlight w:val="none"/>
                <w:u w:val="none"/>
                <w:lang w:val="en-US" w:eastAsia="zh-CN"/>
              </w:rPr>
              <w:t>黄蜡河</w:t>
            </w:r>
            <w:r>
              <w:rPr>
                <w:rFonts w:hint="eastAsia" w:ascii="Times New Roman" w:hAnsi="Times New Roman" w:eastAsia="宋体" w:cs="Times New Roman"/>
                <w:color w:val="auto"/>
                <w:sz w:val="24"/>
                <w:szCs w:val="24"/>
                <w:highlight w:val="none"/>
                <w:u w:val="none"/>
              </w:rPr>
              <w:t>，据柳州市生态环境局公布的《202</w:t>
            </w:r>
            <w:r>
              <w:rPr>
                <w:rFonts w:hint="eastAsia"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rPr>
              <w:t>年柳州市生态环境状况公报》，洛清江的渔村、百鸟滩、对亭监测断面全年评价结果优于《地表水环境质量标准》（GB3838-2002）III类水质标准，项目所在区域地表水环境良好。</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本项目评价范围内大气环境、地表水环境和声环境质量现状较好，项目实施后产生的废气、废水、噪声等虽然对大气环境、地表水环境和声环境造成一定的负面影响，但影响程度很小，不会改变环境功能区，能够严守环境质量底线。</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因此，本项目建设符合环境质量底线要求。</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（3）资源利用上限</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项目营运期能源消耗主要为一定量的电能和新鲜水，但资源消耗量相对区域资源利用总量较小，符合资源利用上限要求。</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（4）环境准入负面清单</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rPr>
            </w:pPr>
            <w:r>
              <w:rPr>
                <w:rFonts w:hint="eastAsia" w:ascii="Times New Roman" w:hAnsi="Times New Roman" w:eastAsia="宋体" w:cs="Times New Roman"/>
                <w:color w:val="auto"/>
                <w:sz w:val="24"/>
                <w:szCs w:val="24"/>
                <w:highlight w:val="none"/>
                <w:u w:val="none"/>
              </w:rPr>
              <w:t>根据《市场准入负面清单（2022年版）》（发改体改规〔2022〕397号），本项目属于市场许可准入类，项目工程设计及施工过程均将在依法获得相关许可及履行法定程序后进行工程建设，属于可依法进入市场的项目。</w:t>
            </w:r>
            <w:r>
              <w:rPr>
                <w:rFonts w:hint="default" w:ascii="Times New Roman" w:hAnsi="Times New Roman" w:eastAsia="宋体" w:cs="Times New Roman"/>
                <w:color w:val="000000"/>
                <w:sz w:val="24"/>
              </w:rPr>
              <w:t>本项目不属于“鼓励类”、“限制类”和“淘汰类”项目，属于允许类项目，工艺中所使用的设备，未列入国家淘汰类和限制类设备产品目录，本项目符合国家和地方产业政策相关规定。</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根据广西壮族自治区发展和改革委</w:t>
            </w:r>
            <w:r>
              <w:rPr>
                <w:rFonts w:hint="eastAsia" w:cs="Times New Roman"/>
                <w:color w:val="auto"/>
                <w:sz w:val="24"/>
                <w:szCs w:val="24"/>
                <w:highlight w:val="none"/>
                <w:u w:val="none"/>
                <w:lang w:eastAsia="zh-CN"/>
              </w:rPr>
              <w:t>员会</w:t>
            </w:r>
            <w:r>
              <w:rPr>
                <w:rFonts w:hint="eastAsia" w:ascii="Times New Roman" w:hAnsi="Times New Roman" w:eastAsia="宋体" w:cs="Times New Roman"/>
                <w:color w:val="auto"/>
                <w:sz w:val="24"/>
                <w:szCs w:val="24"/>
                <w:highlight w:val="none"/>
                <w:u w:val="none"/>
              </w:rPr>
              <w:t>文件《广西壮族自治区发展和改革委员会关于印发</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广西16个国家重点生态功能区县产业准入负面清单（试行）</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的通知》（桂发改规划﹝2016﹞944 号）和《广西壮族自治区发展和改革委员会关于印发</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广西第二批重点生态功能区产业准入负面清单（试行）</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的通知》（桂发改规划﹝2017﹞1652号），项目所处的柳州市鹿寨县未纳入其中的广西30个国家级和自治区级重点生态功能区县（市）监管范围，项目建设不违背地方重点生态功能区产业准入负面清单的要求。</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根据《柳州市人民政府关于“三线一单”生态环境分区管控的实施意见》（柳政规〔2021〕13号）中附件4《柳州市国家级、自治区级以上市辖区工业</w:t>
            </w:r>
            <w:r>
              <w:rPr>
                <w:rFonts w:hint="eastAsia" w:cs="Times New Roman"/>
                <w:color w:val="auto"/>
                <w:sz w:val="24"/>
                <w:szCs w:val="24"/>
                <w:highlight w:val="none"/>
                <w:u w:val="none"/>
                <w:lang w:eastAsia="zh-CN"/>
              </w:rPr>
              <w:t>厂区</w:t>
            </w:r>
            <w:r>
              <w:rPr>
                <w:rFonts w:hint="eastAsia" w:ascii="Times New Roman" w:hAnsi="Times New Roman" w:eastAsia="宋体" w:cs="Times New Roman"/>
                <w:color w:val="auto"/>
                <w:sz w:val="24"/>
                <w:szCs w:val="24"/>
                <w:highlight w:val="none"/>
                <w:u w:val="none"/>
              </w:rPr>
              <w:t>环境管控单元生态环境准入及管控要求清单》，本项目所处的鹿寨县不在柳州市国家级、自治区级以上市辖区工业</w:t>
            </w:r>
            <w:r>
              <w:rPr>
                <w:rFonts w:hint="eastAsia" w:cs="Times New Roman"/>
                <w:color w:val="auto"/>
                <w:sz w:val="24"/>
                <w:szCs w:val="24"/>
                <w:highlight w:val="none"/>
                <w:u w:val="none"/>
                <w:lang w:eastAsia="zh-CN"/>
              </w:rPr>
              <w:t>厂区</w:t>
            </w:r>
            <w:r>
              <w:rPr>
                <w:rFonts w:hint="eastAsia" w:ascii="Times New Roman" w:hAnsi="Times New Roman" w:eastAsia="宋体" w:cs="Times New Roman"/>
                <w:color w:val="auto"/>
                <w:sz w:val="24"/>
                <w:szCs w:val="24"/>
                <w:highlight w:val="none"/>
                <w:u w:val="none"/>
              </w:rPr>
              <w:t>环境管控单元生态环境准入及管控要求清单中。</w:t>
            </w:r>
          </w:p>
          <w:p>
            <w:pPr>
              <w:keepNext w:val="0"/>
              <w:keepLines w:val="0"/>
              <w:pageBreakBefore w:val="0"/>
              <w:widowControl w:val="0"/>
              <w:tabs>
                <w:tab w:val="left" w:pos="62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柳州市人民政府关于“三线一单”生态环境分区管控的实施意见》（柳政规〔2021〕12号）中附件3《柳州市生态环境准入及管控要求清单》，项目建设符合地方重点生态功能区产业生态环境准入清单的要求。</w:t>
            </w:r>
          </w:p>
          <w:p>
            <w:pPr>
              <w:pStyle w:val="17"/>
              <w:spacing w:line="360" w:lineRule="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综上，本项目符合“三线一单”的要求。</w:t>
            </w:r>
          </w:p>
          <w:p>
            <w:pPr>
              <w:pStyle w:val="17"/>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、与土地规划相符性分析</w:t>
            </w:r>
          </w:p>
          <w:p>
            <w:pPr>
              <w:pStyle w:val="17"/>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eastAsia" w:ascii="Times New Roman" w:hAnsi="Times New Roman" w:cs="Times New Roman"/>
                <w:color w:val="000000" w:themeColor="text1"/>
                <w:sz w:val="24"/>
                <w:szCs w:val="24"/>
                <w:lang w:val="en-US" w:eastAsia="zh-CN"/>
                <w14:textFill>
                  <w14:solidFill>
                    <w14:schemeClr w14:val="tx1"/>
                  </w14:solidFill>
                </w14:textFill>
              </w:rPr>
              <w:t>柳州市鹿寨县中渡镇马安村下拉屯</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根据鹿寨县泓霆资源经营有限公司</w:t>
            </w:r>
            <w:r>
              <w:rPr>
                <w:rFonts w:hint="eastAsia" w:ascii="Times New Roman" w:hAnsi="Times New Roman" w:cs="Times New Roman"/>
                <w:color w:val="000000" w:themeColor="text1"/>
                <w:sz w:val="24"/>
                <w:szCs w:val="24"/>
                <w:lang w:val="en-US" w:eastAsia="zh-CN"/>
                <w14:textFill>
                  <w14:solidFill>
                    <w14:schemeClr w14:val="tx1"/>
                  </w14:solidFill>
                </w14:textFill>
              </w:rPr>
              <w:t>出具不动产的土地证书（桂（2024）鹿寨县不动产权第0000983号）与</w:t>
            </w:r>
            <w:r>
              <w:rPr>
                <w:rFonts w:hint="default" w:ascii="Times New Roman" w:hAnsi="Times New Roman" w:eastAsia="宋体" w:cs="Times New Roman"/>
                <w:color w:val="000000" w:themeColor="text1"/>
                <w:sz w:val="24"/>
                <w14:textFill>
                  <w14:solidFill>
                    <w14:schemeClr w14:val="tx1"/>
                  </w14:solidFill>
                </w14:textFill>
              </w:rPr>
              <w:t>《广西鹿寨高新技术产业开发区总体规划（2017-2023）环境影响报告书》及其审查意见（柳环规划函〔2018〕70号）</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可知</w:t>
            </w:r>
            <w:r>
              <w:rPr>
                <w:rFonts w:hint="eastAsia" w:ascii="Times New Roman" w:hAnsi="Times New Roman" w:cs="Times New Roman"/>
                <w:color w:val="000000" w:themeColor="text1"/>
                <w:sz w:val="24"/>
                <w:szCs w:val="24"/>
                <w:highlight w:val="none"/>
                <w:shd w:val="clear"/>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用地</w:t>
            </w:r>
            <w:r>
              <w:rPr>
                <w:rFonts w:hint="eastAsia" w:ascii="Times New Roman" w:hAnsi="Times New Roman" w:cs="Times New Roman"/>
                <w:color w:val="000000" w:themeColor="text1"/>
                <w:sz w:val="24"/>
                <w:szCs w:val="24"/>
                <w:highlight w:val="none"/>
                <w:shd w:val="clear"/>
                <w:lang w:eastAsia="zh-CN"/>
                <w14:textFill>
                  <w14:solidFill>
                    <w14:schemeClr w14:val="tx1"/>
                  </w14:solidFill>
                </w14:textFill>
              </w:rPr>
              <w:t>规划为</w:t>
            </w:r>
            <w:r>
              <w:rPr>
                <w:rFonts w:hint="eastAsia" w:ascii="Times New Roman" w:hAnsi="Times New Roman" w:cs="Times New Roman"/>
                <w:color w:val="auto"/>
                <w:sz w:val="24"/>
                <w:szCs w:val="24"/>
                <w:highlight w:val="none"/>
                <w:shd w:val="clear"/>
                <w:lang w:val="en-US" w:eastAsia="zh-CN"/>
              </w:rPr>
              <w:t>工业</w:t>
            </w: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用地，建设符合规划要求。</w:t>
            </w:r>
          </w:p>
          <w:p>
            <w:pPr>
              <w:pStyle w:val="17"/>
              <w:spacing w:line="360" w:lineRule="auto"/>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u w:val="none"/>
                <w14:textFill>
                  <w14:solidFill>
                    <w14:schemeClr w14:val="tx1"/>
                  </w14:solidFill>
                </w14:textFill>
              </w:rPr>
              <w:t>、</w:t>
            </w: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项目选址合理性分析</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根据《食品生产通用卫生规范》（GB 14881—2013），食品企业选址应当满足以下要求：①厂区不应选择对食品有显著污染的区域；②厂区不应选择在有害废弃物以及粉尘、有害气体、放射性物质和其他扩散性污染源不能有效清除的地址；③厂区不宜择易发生洪涝灾害的地区；④厂区周围不宜有虫害大量滋生的潜在场所。</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eastAsia" w:cs="Times New Roman"/>
                <w:color w:val="000000" w:themeColor="text1"/>
                <w:sz w:val="24"/>
                <w:lang w:val="en-US" w:eastAsia="zh-CN"/>
                <w14:textFill>
                  <w14:solidFill>
                    <w14:schemeClr w14:val="tx1"/>
                  </w14:solidFill>
                </w14:textFill>
              </w:rPr>
              <w:t>柳</w:t>
            </w:r>
            <w:r>
              <w:rPr>
                <w:rFonts w:hint="eastAsia" w:cs="Times New Roman"/>
                <w:color w:val="000000" w:themeColor="text1"/>
                <w:sz w:val="24"/>
                <w:lang w:eastAsia="zh-CN"/>
                <w14:textFill>
                  <w14:solidFill>
                    <w14:schemeClr w14:val="tx1"/>
                  </w14:solidFill>
                </w14:textFill>
              </w:rPr>
              <w:t>州市鹿寨县中渡镇马安村下拉屯</w:t>
            </w:r>
            <w:r>
              <w:rPr>
                <w:rFonts w:hint="default" w:ascii="Times New Roman" w:hAnsi="Times New Roman" w:eastAsia="宋体" w:cs="Times New Roman"/>
                <w:color w:val="000000" w:themeColor="text1"/>
                <w:sz w:val="24"/>
                <w14:textFill>
                  <w14:solidFill>
                    <w14:schemeClr w14:val="tx1"/>
                  </w14:solidFill>
                </w14:textFill>
              </w:rPr>
              <w:t>。根据调查，项目四侧</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00m范围内无工业企业，</w:t>
            </w: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周边以农田、林地和居民为主，无高大建筑物，扩散性</w:t>
            </w:r>
            <w:r>
              <w:rPr>
                <w:rFonts w:hint="default" w:ascii="Times New Roman" w:hAnsi="Times New Roman" w:eastAsia="宋体" w:cs="Times New Roman"/>
                <w:color w:val="000000" w:themeColor="text1"/>
                <w:sz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14:textFill>
                  <w14:solidFill>
                    <w14:schemeClr w14:val="tx1"/>
                  </w14:solidFill>
                </w14:textFill>
              </w:rPr>
              <w:t>好。项目生产加工车间为室内，</w:t>
            </w:r>
            <w:r>
              <w:rPr>
                <w:rFonts w:hint="default" w:ascii="Times New Roman" w:hAnsi="Times New Roman" w:eastAsia="宋体" w:cs="Times New Roman"/>
                <w:color w:val="000000" w:themeColor="text1"/>
                <w:sz w:val="24"/>
                <w:lang w:val="en-US" w:eastAsia="zh-CN"/>
                <w14:textFill>
                  <w14:solidFill>
                    <w14:schemeClr w14:val="tx1"/>
                  </w14:solidFill>
                </w14:textFill>
              </w:rPr>
              <w:t>为框架结构厂房</w:t>
            </w:r>
            <w:r>
              <w:rPr>
                <w:rFonts w:hint="default" w:ascii="Times New Roman" w:hAnsi="Times New Roman" w:eastAsia="宋体" w:cs="Times New Roman"/>
                <w:color w:val="000000" w:themeColor="text1"/>
                <w:sz w:val="24"/>
                <w14:textFill>
                  <w14:solidFill>
                    <w14:schemeClr w14:val="tx1"/>
                  </w14:solidFill>
                </w14:textFill>
              </w:rPr>
              <w:t>，且车间内配备抽风系统以及排风扇，粉尘和道路汽车尾气对项目影响不大。项目周围无有害废弃物以及粉尘、有害气体、放射性物质和其他扩散性污染源等，项目所在地不属于易发生洪涝灾害的地区和虫害大量滋生的潜在场所，因此项目选址</w:t>
            </w:r>
            <w:r>
              <w:rPr>
                <w:rFonts w:hint="default" w:ascii="Times New Roman" w:hAnsi="Times New Roman" w:eastAsia="宋体" w:cs="Times New Roman"/>
                <w:color w:val="000000" w:themeColor="text1"/>
                <w:sz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14:textFill>
                  <w14:solidFill>
                    <w14:schemeClr w14:val="tx1"/>
                  </w14:solidFill>
                </w14:textFill>
              </w:rPr>
              <w:t>符合《食品生产通用卫生规范》（GB 14881—2013）对食品加工企业的选址要求。</w:t>
            </w:r>
          </w:p>
          <w:p>
            <w:pPr>
              <w:spacing w:line="360" w:lineRule="auto"/>
              <w:ind w:firstLine="42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p>
          <w:p>
            <w:pPr>
              <w:spacing w:line="360" w:lineRule="auto"/>
              <w:ind w:firstLine="42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p>
          <w:p>
            <w:pPr>
              <w:spacing w:line="360" w:lineRule="auto"/>
              <w:ind w:firstLine="42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p>
          <w:p>
            <w:pPr>
              <w:spacing w:line="360" w:lineRule="auto"/>
              <w:ind w:firstLine="42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p>
        </w:tc>
      </w:tr>
    </w:tbl>
    <w:p>
      <w:pPr>
        <w:spacing w:line="360" w:lineRule="auto"/>
        <w:outlineLvl w:val="0"/>
        <w:rPr>
          <w:rFonts w:hint="default" w:ascii="Times New Roman" w:hAnsi="Times New Roman" w:eastAsia="宋体" w:cs="Times New Roman"/>
          <w:color w:val="000000" w:themeColor="text1"/>
          <w:sz w:val="30"/>
          <w14:textFill>
            <w14:solidFill>
              <w14:schemeClr w14:val="tx1"/>
            </w14:solidFill>
          </w14:textFill>
        </w:rPr>
        <w:sectPr>
          <w:pgSz w:w="11906" w:h="16838"/>
          <w:pgMar w:top="1134" w:right="1531" w:bottom="1134" w:left="1531" w:header="851" w:footer="799" w:gutter="0"/>
          <w:pgNumType w:fmt="numberInDash" w:start="1"/>
          <w:cols w:space="720" w:num="1"/>
          <w:docGrid w:linePitch="312" w:charSpace="0"/>
        </w:sectPr>
      </w:pPr>
    </w:p>
    <w:p>
      <w:pPr>
        <w:widowControl/>
        <w:spacing w:after="120"/>
        <w:ind w:left="1"/>
        <w:jc w:val="left"/>
        <w:outlineLvl w:val="0"/>
        <w:rPr>
          <w:rFonts w:hint="default" w:ascii="Times New Roman" w:hAnsi="Times New Roman" w:eastAsia="宋体" w:cs="Times New Roman"/>
          <w:b/>
          <w:color w:val="000000" w:themeColor="text1"/>
          <w:sz w:val="30"/>
          <w14:textFill>
            <w14:solidFill>
              <w14:schemeClr w14:val="tx1"/>
            </w14:solidFill>
          </w14:textFill>
        </w:rPr>
      </w:pPr>
      <w:bookmarkStart w:id="10" w:name="_Toc27728"/>
      <w:r>
        <w:rPr>
          <w:rFonts w:hint="default" w:ascii="Times New Roman" w:hAnsi="Times New Roman" w:eastAsia="宋体" w:cs="Times New Roman"/>
          <w:b/>
          <w:color w:val="000000" w:themeColor="text1"/>
          <w:sz w:val="30"/>
          <w14:textFill>
            <w14:solidFill>
              <w14:schemeClr w14:val="tx1"/>
            </w14:solidFill>
          </w14:textFill>
        </w:rPr>
        <w:t>二、建设项目工程分析</w:t>
      </w:r>
      <w:bookmarkEnd w:id="10"/>
    </w:p>
    <w:tbl>
      <w:tblPr>
        <w:tblStyle w:val="33"/>
        <w:tblW w:w="0" w:type="auto"/>
        <w:tblInd w:w="10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5"/>
        <w:gridCol w:w="84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90" w:hRule="atLeast"/>
        </w:trPr>
        <w:tc>
          <w:tcPr>
            <w:tcW w:w="455" w:type="dxa"/>
            <w:vAlign w:val="center"/>
          </w:tcPr>
          <w:p>
            <w:pPr>
              <w:pStyle w:val="28"/>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建设内容</w:t>
            </w:r>
          </w:p>
        </w:tc>
        <w:tc>
          <w:tcPr>
            <w:tcW w:w="8441" w:type="dxa"/>
          </w:tcPr>
          <w:p>
            <w:pPr>
              <w:widowControl w:val="0"/>
              <w:kinsoku/>
              <w:overflowPunct w:val="0"/>
              <w:topLinePunct/>
              <w:adjustRightInd/>
              <w:snapToGrid/>
              <w:spacing w:line="360" w:lineRule="auto"/>
              <w:ind w:firstLine="474"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bookmarkStart w:id="11" w:name="_Toc199864519"/>
            <w:bookmarkStart w:id="12" w:name="_Toc199863389"/>
            <w:bookmarkStart w:id="13" w:name="_Toc477271132"/>
            <w:bookmarkStart w:id="14" w:name="_Toc199863577"/>
            <w:bookmarkStart w:id="15" w:name="_Toc200085587"/>
            <w:bookmarkStart w:id="16" w:name="_Toc200086327"/>
            <w:bookmarkStart w:id="17" w:name="_Toc477271010"/>
            <w:r>
              <w:rPr>
                <w:rFonts w:hint="default" w:ascii="Times New Roman" w:hAnsi="Times New Roman" w:eastAsia="宋体" w:cs="Times New Roman"/>
                <w:b/>
                <w:bCs/>
                <w:color w:val="000000" w:themeColor="text1"/>
                <w:spacing w:val="-2"/>
                <w:sz w:val="24"/>
                <w:szCs w:val="24"/>
                <w14:textFill>
                  <w14:solidFill>
                    <w14:schemeClr w14:val="tx1"/>
                  </w14:solidFill>
                </w14:textFill>
              </w:rPr>
              <w:t>1</w:t>
            </w:r>
            <w:r>
              <w:rPr>
                <w:rFonts w:hint="default" w:ascii="Times New Roman" w:hAnsi="Times New Roman" w:eastAsia="宋体" w:cs="Times New Roman"/>
                <w:color w:val="000000" w:themeColor="text1"/>
                <w:spacing w:val="-2"/>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14:textOutline w14:w="4356" w14:cap="sq" w14:cmpd="sng">
                  <w14:solidFill>
                    <w14:srgbClr w14:val="000000"/>
                  </w14:solidFill>
                  <w14:prstDash w14:val="solid"/>
                  <w14:bevel/>
                </w14:textOutline>
                <w14:textFill>
                  <w14:solidFill>
                    <w14:schemeClr w14:val="tx1"/>
                  </w14:solidFill>
                </w14:textFill>
              </w:rPr>
              <w:t>、项目背景</w:t>
            </w:r>
          </w:p>
          <w:p>
            <w:pPr>
              <w:spacing w:line="360" w:lineRule="auto"/>
              <w:ind w:firstLine="480" w:firstLineChars="200"/>
              <w:rPr>
                <w:rFonts w:hint="default" w:ascii="Times New Roman" w:hAnsi="Times New Roman" w:eastAsia="宋体" w:cs="Times New Roman"/>
                <w:color w:val="000000" w:themeColor="text1"/>
                <w:kern w:val="0"/>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u w:val="none"/>
                <w14:textFill>
                  <w14:solidFill>
                    <w14:schemeClr w14:val="tx1"/>
                  </w14:solidFill>
                </w14:textFill>
              </w:rPr>
              <w:t>米粉是转化稻米数量最多的产品，是两湖、两广、江西、贵州和云南等地早餐市场的主导产品，市场空间巨大。米粉传统市场在南方省市，北方消费量近年呈快速上升趋势。中国人喜食米粉，在南方市场（两广、两湖、云贵赣闽），几乎人人都习惯以米粉作为早餐主食，加上中餐和晚餐及宵夜的以米粉作为菜肴或主食，米粉消费量都非常大。伴随着米粉连锁餐饮的诞生和发展，目前北方区域也开始喜食米粉，因此目前米粉市场发展前景较好。</w:t>
            </w:r>
          </w:p>
          <w:p>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鹿寨县汇一联城市开发投资有限责任公司抓住</w:t>
            </w:r>
            <w:r>
              <w:rPr>
                <w:rFonts w:hint="default" w:ascii="Times New Roman" w:hAnsi="Times New Roman" w:eastAsia="宋体" w:cs="Times New Roman"/>
                <w:color w:val="000000" w:themeColor="text1"/>
                <w:kern w:val="0"/>
                <w:sz w:val="24"/>
                <w:u w:val="none"/>
                <w14:textFill>
                  <w14:solidFill>
                    <w14:schemeClr w14:val="tx1"/>
                  </w14:solidFill>
                </w14:textFill>
              </w:rPr>
              <w:t>米粉市场发展前景</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w:t>
            </w:r>
            <w:r>
              <w:rPr>
                <w:rFonts w:hint="eastAsia" w:cs="Times New Roman"/>
                <w:color w:val="000000" w:themeColor="text1"/>
                <w:kern w:val="0"/>
                <w:sz w:val="24"/>
                <w:u w:val="none"/>
                <w:lang w:val="en-US" w:eastAsia="zh-CN"/>
                <w14:textFill>
                  <w14:solidFill>
                    <w14:schemeClr w14:val="tx1"/>
                  </w14:solidFill>
                </w14:textFill>
              </w:rPr>
              <w:t>在</w:t>
            </w:r>
            <w:r>
              <w:rPr>
                <w:rFonts w:hint="eastAsia" w:cs="Times New Roman"/>
                <w:color w:val="000000" w:themeColor="text1"/>
                <w:kern w:val="0"/>
                <w:sz w:val="24"/>
                <w:u w:val="none"/>
                <w:lang w:eastAsia="zh-CN"/>
                <w14:textFill>
                  <w14:solidFill>
                    <w14:schemeClr w14:val="tx1"/>
                  </w14:solidFill>
                </w14:textFill>
              </w:rPr>
              <w:t>柳州市鹿寨县中渡镇马安村下拉屯</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作为米粉</w:t>
            </w:r>
            <w:r>
              <w:rPr>
                <w:rFonts w:hint="default" w:ascii="Times New Roman" w:hAnsi="Times New Roman" w:eastAsia="宋体" w:cs="Times New Roman"/>
                <w:color w:val="000000" w:themeColor="text1"/>
                <w:kern w:val="0"/>
                <w:sz w:val="24"/>
                <w:u w:val="none"/>
                <w14:textFill>
                  <w14:solidFill>
                    <w14:schemeClr w14:val="tx1"/>
                  </w14:solidFill>
                </w14:textFill>
              </w:rPr>
              <w:t>厂</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的建设用地，用于建设</w:t>
            </w:r>
            <w:r>
              <w:rPr>
                <w:rFonts w:hint="eastAsia" w:cs="Times New Roman"/>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项目名称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eastAsia" w:cs="Times New Roman"/>
                <w:color w:val="000000" w:themeColor="text1"/>
                <w:sz w:val="24"/>
                <w:lang w:eastAsia="zh-CN"/>
                <w14:textFill>
                  <w14:solidFill>
                    <w14:schemeClr w14:val="tx1"/>
                  </w14:solidFill>
                </w14:textFill>
              </w:rPr>
              <w:t>广西鹿寨县中渡镇全域土地综合整治助推乡村—广西腾汇国营年产10000吨米粉厂建设项目（一期）</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cs="Times New Roman"/>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u w:val="none"/>
                <w14:textFill>
                  <w14:solidFill>
                    <w14:schemeClr w14:val="tx1"/>
                  </w14:solidFill>
                </w14:textFill>
              </w:rPr>
              <w:t>，</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项目</w:t>
            </w:r>
            <w:r>
              <w:rPr>
                <w:rFonts w:hint="default" w:ascii="Times New Roman" w:hAnsi="Times New Roman" w:eastAsia="宋体" w:cs="Times New Roman"/>
                <w:color w:val="000000" w:themeColor="text1"/>
                <w:sz w:val="24"/>
                <w:u w:val="none"/>
                <w14:textFill>
                  <w14:solidFill>
                    <w14:schemeClr w14:val="tx1"/>
                  </w14:solidFill>
                </w14:textFill>
              </w:rPr>
              <w:t>主要从事米粉生产、加工、销售。为加快推进项目建设，广西壮族自治区鹿寨县发展和改革局</w:t>
            </w:r>
            <w:r>
              <w:rPr>
                <w:rFonts w:hint="eastAsia"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同意广西</w:t>
            </w:r>
            <w:r>
              <w:rPr>
                <w:rFonts w:hint="eastAsia"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鹿寨县中渡镇全域土地综合整治助推乡村振兴项目-广西腾汇国营年产10000吨米粉厂建设项目</w:t>
            </w:r>
            <w:r>
              <w:rPr>
                <w:rFonts w:hint="eastAsia"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业主由</w:t>
            </w:r>
            <w:r>
              <w:rPr>
                <w:rFonts w:hint="eastAsia" w:cs="Times New Roman"/>
                <w:color w:val="000000" w:themeColor="text1"/>
                <w:sz w:val="24"/>
                <w:u w:val="none"/>
                <w:lang w:val="en-US" w:eastAsia="zh-CN"/>
                <w14:textFill>
                  <w14:solidFill>
                    <w14:schemeClr w14:val="tx1"/>
                  </w14:solidFill>
                </w14:textFill>
              </w:rPr>
              <w:t>鹿寨县</w:t>
            </w:r>
            <w:r>
              <w:rPr>
                <w:rFonts w:hint="default" w:ascii="Times New Roman" w:hAnsi="Times New Roman" w:eastAsia="宋体" w:cs="Times New Roman"/>
                <w:color w:val="000000" w:themeColor="text1"/>
                <w:sz w:val="24"/>
                <w:u w:val="none"/>
                <w14:textFill>
                  <w14:solidFill>
                    <w14:schemeClr w14:val="tx1"/>
                  </w14:solidFill>
                </w14:textFill>
              </w:rPr>
              <w:t>汇一联城市开发投资有限责任公司变更为鹿寨县泓霆资源经营有限公司，并且由鹿寨县腾汇投资开发有限责任公司实施全过程代建</w:t>
            </w:r>
            <w:r>
              <w:rPr>
                <w:rFonts w:hint="eastAsia"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项目业主变更后，已办理的立项、可研、初设按原批复文件执行。</w:t>
            </w:r>
            <w:r>
              <w:rPr>
                <w:rFonts w:hint="eastAsia" w:cs="Times New Roman"/>
                <w:color w:val="000000" w:themeColor="text1"/>
                <w:sz w:val="24"/>
                <w:u w:val="none"/>
                <w:lang w:val="en-US" w:eastAsia="zh-CN"/>
                <w14:textFill>
                  <w14:solidFill>
                    <w14:schemeClr w14:val="tx1"/>
                  </w14:solidFill>
                </w14:textFill>
              </w:rPr>
              <w:t>因此本项目评价以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鹿寨县泓霆资源经营有限公司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为项目业主进行评价。</w:t>
            </w:r>
          </w:p>
          <w:p>
            <w:pPr>
              <w:pStyle w:val="17"/>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根据《中华人民共和国环境影响评价法》、《建设项目环境保护管理条例》和《建设项目环境影响评价分类管理名录》（2021年版）等相关法律、法规的要求，本项目属于“十一、食品制造业 14</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21方便食品制造143</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除单纯分装外的”，需编制环境影响报告表。根据要求，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鹿寨县泓霆资源经营有限公司</w:t>
            </w:r>
            <w:r>
              <w:rPr>
                <w:rFonts w:hint="default" w:ascii="Times New Roman" w:hAnsi="Times New Roman" w:eastAsia="宋体" w:cs="Times New Roman"/>
                <w:color w:val="000000" w:themeColor="text1"/>
                <w:sz w:val="24"/>
                <w14:textFill>
                  <w14:solidFill>
                    <w14:schemeClr w14:val="tx1"/>
                  </w14:solidFill>
                </w14:textFill>
              </w:rPr>
              <w:t>于202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月委托</w:t>
            </w:r>
            <w:r>
              <w:rPr>
                <w:rFonts w:hint="eastAsia" w:ascii="Times New Roman" w:hAnsi="Times New Roman" w:cs="Times New Roman"/>
                <w:color w:val="000000" w:themeColor="text1"/>
                <w:sz w:val="24"/>
                <w:shd w:val="clear"/>
                <w:lang w:eastAsia="zh-CN"/>
                <w14:textFill>
                  <w14:solidFill>
                    <w14:schemeClr w14:val="tx1"/>
                  </w14:solidFill>
                </w14:textFill>
              </w:rPr>
              <w:t>广西明环环保科技有限公司</w:t>
            </w:r>
            <w:r>
              <w:rPr>
                <w:rFonts w:hint="default" w:ascii="Times New Roman" w:hAnsi="Times New Roman" w:eastAsia="宋体" w:cs="Times New Roman"/>
                <w:color w:val="000000" w:themeColor="text1"/>
                <w:sz w:val="24"/>
                <w:shd w:val="clear"/>
                <w14:textFill>
                  <w14:solidFill>
                    <w14:schemeClr w14:val="tx1"/>
                  </w14:solidFill>
                </w14:textFill>
              </w:rPr>
              <w:t>承</w:t>
            </w:r>
            <w:r>
              <w:rPr>
                <w:rFonts w:hint="default" w:ascii="Times New Roman" w:hAnsi="Times New Roman" w:eastAsia="宋体" w:cs="Times New Roman"/>
                <w:color w:val="000000" w:themeColor="text1"/>
                <w:sz w:val="24"/>
                <w14:textFill>
                  <w14:solidFill>
                    <w14:schemeClr w14:val="tx1"/>
                  </w14:solidFill>
                </w14:textFill>
              </w:rPr>
              <w:t>担本项目环境影响评价工作，我公司接受委托后，认真研究该项目的有关资料，并进行了实地踏勘和调研，收集和核实有关材料和工程资料，在现场调查</w:t>
            </w:r>
            <w:r>
              <w:rPr>
                <w:rFonts w:hint="default" w:ascii="Times New Roman" w:hAnsi="Times New Roman" w:eastAsia="宋体" w:cs="Times New Roman"/>
                <w:color w:val="000000" w:themeColor="text1"/>
                <w:sz w:val="24"/>
                <w:lang w:val="en-US" w:eastAsia="zh-CN"/>
                <w14:textFill>
                  <w14:solidFill>
                    <w14:schemeClr w14:val="tx1"/>
                  </w14:solidFill>
                </w14:textFill>
              </w:rPr>
              <w:t>和收集资料</w:t>
            </w:r>
            <w:r>
              <w:rPr>
                <w:rFonts w:hint="default" w:ascii="Times New Roman" w:hAnsi="Times New Roman" w:eastAsia="宋体" w:cs="Times New Roman"/>
                <w:color w:val="000000" w:themeColor="text1"/>
                <w:sz w:val="24"/>
                <w14:textFill>
                  <w14:solidFill>
                    <w14:schemeClr w14:val="tx1"/>
                  </w14:solidFill>
                </w14:textFill>
              </w:rPr>
              <w:t>等环节工作的基础上，按</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建设项目环境影响报告表编制技术指南（</w:t>
            </w:r>
            <w:r>
              <w:rPr>
                <w:rFonts w:hint="default" w:ascii="Times New Roman" w:hAnsi="Times New Roman" w:eastAsia="宋体" w:cs="Times New Roman"/>
                <w:color w:val="000000" w:themeColor="text1"/>
                <w:spacing w:val="9"/>
                <w:sz w:val="24"/>
                <w:szCs w:val="24"/>
                <w14:textFill>
                  <w14:solidFill>
                    <w14:schemeClr w14:val="tx1"/>
                  </w14:solidFill>
                </w14:textFill>
              </w:rPr>
              <w:t>（污染影响类）</w:t>
            </w:r>
            <w:r>
              <w:rPr>
                <w:rFonts w:hint="default" w:ascii="Times New Roman" w:hAnsi="Times New Roman" w:eastAsia="宋体" w:cs="Times New Roman"/>
                <w:color w:val="000000" w:themeColor="text1"/>
                <w:sz w:val="24"/>
                <w14:textFill>
                  <w14:solidFill>
                    <w14:schemeClr w14:val="tx1"/>
                  </w14:solidFill>
                </w14:textFill>
              </w:rPr>
              <w:t>（试行）》等相关规定及要求，编制完成了《</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项目名称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eastAsia" w:ascii="Times New Roman" w:hAnsi="Times New Roman" w:cs="Times New Roman"/>
                <w:color w:val="000000" w:themeColor="text1"/>
                <w:sz w:val="24"/>
                <w:lang w:eastAsia="zh-CN"/>
                <w14:textFill>
                  <w14:solidFill>
                    <w14:schemeClr w14:val="tx1"/>
                  </w14:solidFill>
                </w14:textFill>
              </w:rPr>
              <w:t>广西鹿寨县中渡镇全域土地综合整治助推乡村一广西腾汇国营年产10000吨米粉厂建设项目</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环境影响报告表》。</w:t>
            </w:r>
          </w:p>
          <w:p>
            <w:pPr>
              <w:widowControl w:val="0"/>
              <w:kinsoku/>
              <w:overflowPunct w:val="0"/>
              <w:topLinePunct/>
              <w:adjustRightInd/>
              <w:snapToGrid/>
              <w:spacing w:line="360" w:lineRule="auto"/>
              <w:ind w:firstLine="474" w:firstLineChars="200"/>
              <w:textAlignment w:val="center"/>
              <w:rPr>
                <w:rFonts w:hint="default" w:ascii="Times New Roman" w:hAnsi="Times New Roman" w:eastAsia="宋体" w:cs="Times New Roman"/>
                <w:b/>
                <w:bCs/>
                <w:color w:val="000000" w:themeColor="text1"/>
                <w:spacing w:val="-2"/>
                <w:sz w:val="24"/>
                <w:szCs w:val="24"/>
                <w14:textFill>
                  <w14:solidFill>
                    <w14:schemeClr w14:val="tx1"/>
                  </w14:solidFill>
                </w14:textFill>
              </w:rPr>
            </w:pPr>
            <w:r>
              <w:rPr>
                <w:rFonts w:hint="default" w:ascii="Times New Roman" w:hAnsi="Times New Roman" w:eastAsia="宋体" w:cs="Times New Roman"/>
                <w:b/>
                <w:bCs/>
                <w:color w:val="000000" w:themeColor="text1"/>
                <w:spacing w:val="-2"/>
                <w:sz w:val="24"/>
                <w:szCs w:val="24"/>
                <w14:textFill>
                  <w14:solidFill>
                    <w14:schemeClr w14:val="tx1"/>
                  </w14:solidFill>
                </w14:textFill>
              </w:rPr>
              <w:t>2、项目概况</w:t>
            </w:r>
            <w:bookmarkEnd w:id="11"/>
            <w:bookmarkEnd w:id="12"/>
            <w:bookmarkEnd w:id="13"/>
            <w:bookmarkEnd w:id="14"/>
            <w:bookmarkEnd w:id="15"/>
            <w:bookmarkEnd w:id="16"/>
            <w:bookmarkEnd w:id="17"/>
          </w:p>
          <w:p>
            <w:pPr>
              <w:spacing w:line="360" w:lineRule="auto"/>
              <w:ind w:firstLine="480" w:firstLineChars="200"/>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2.1基本概况</w:t>
            </w:r>
          </w:p>
          <w:p>
            <w:pPr>
              <w:spacing w:line="360" w:lineRule="auto"/>
              <w:ind w:firstLine="480" w:firstLineChars="200"/>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（1）项目名称：</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REF 项目名称 \h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eastAsia" w:cs="Times New Roman"/>
                <w:color w:val="000000" w:themeColor="text1"/>
                <w:sz w:val="24"/>
                <w:szCs w:val="20"/>
                <w:highlight w:val="none"/>
                <w:lang w:eastAsia="zh-CN"/>
                <w14:textFill>
                  <w14:solidFill>
                    <w14:schemeClr w14:val="tx1"/>
                  </w14:solidFill>
                </w14:textFill>
              </w:rPr>
              <w:t>广西鹿寨县中渡镇全域土地综合整治助推乡村—广西腾汇国营年产10000吨米粉厂建设项目</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eastAsia" w:cs="Times New Roman"/>
                <w:color w:val="000000" w:themeColor="text1"/>
                <w:sz w:val="24"/>
                <w:szCs w:val="20"/>
                <w:highlight w:val="none"/>
                <w:lang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一期</w:t>
            </w:r>
            <w:r>
              <w:rPr>
                <w:rFonts w:hint="eastAsia" w:cs="Times New Roman"/>
                <w:color w:val="000000" w:themeColor="text1"/>
                <w:sz w:val="24"/>
                <w:szCs w:val="20"/>
                <w:highlight w:val="none"/>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（2）建设单位：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鹿寨县泓霆资源经营有限公司</w:t>
            </w:r>
          </w:p>
          <w:p>
            <w:pPr>
              <w:spacing w:line="360" w:lineRule="auto"/>
              <w:ind w:firstLine="480" w:firstLineChars="200"/>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（3）建设性质：</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REF 建设性质 \h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建</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（4）建设地址：</w:t>
            </w:r>
            <w:r>
              <w:rPr>
                <w:rFonts w:hint="eastAsia" w:cs="Times New Roman"/>
                <w:color w:val="000000" w:themeColor="text1"/>
                <w:sz w:val="24"/>
                <w:highlight w:val="none"/>
                <w:lang w:val="en-US" w:eastAsia="zh-CN"/>
                <w14:textFill>
                  <w14:solidFill>
                    <w14:schemeClr w14:val="tx1"/>
                  </w14:solidFill>
                </w14:textFill>
              </w:rPr>
              <w:t>柳州市鹿寨县中渡镇马安村下拉屯</w:t>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（5）生产规模：</w:t>
            </w:r>
            <w:r>
              <w:rPr>
                <w:rFonts w:hint="default" w:ascii="Times New Roman" w:hAnsi="Times New Roman" w:eastAsia="宋体" w:cs="Times New Roman"/>
                <w:color w:val="000000" w:themeColor="text1"/>
                <w:sz w:val="24"/>
                <w:highlight w:val="none"/>
                <w14:textFill>
                  <w14:solidFill>
                    <w14:schemeClr w14:val="tx1"/>
                  </w14:solidFill>
                </w14:textFill>
              </w:rPr>
              <w:t>年产</w:t>
            </w:r>
            <w:r>
              <w:rPr>
                <w:rFonts w:hint="eastAsia" w:cs="Times New Roman"/>
                <w:color w:val="000000" w:themeColor="text1"/>
                <w:sz w:val="24"/>
                <w:highlight w:val="none"/>
                <w:lang w:val="en-US" w:eastAsia="zh-CN"/>
                <w14:textFill>
                  <w14:solidFill>
                    <w14:schemeClr w14:val="tx1"/>
                  </w14:solidFill>
                </w14:textFill>
              </w:rPr>
              <w:t>10000</w:t>
            </w:r>
            <w:r>
              <w:rPr>
                <w:rFonts w:hint="default" w:ascii="Times New Roman" w:hAnsi="Times New Roman" w:eastAsia="宋体" w:cs="Times New Roman"/>
                <w:color w:val="000000" w:themeColor="text1"/>
                <w:sz w:val="24"/>
                <w:highlight w:val="none"/>
                <w14:textFill>
                  <w14:solidFill>
                    <w14:schemeClr w14:val="tx1"/>
                  </w14:solidFill>
                </w14:textFill>
              </w:rPr>
              <w:t>吨米粉</w:t>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000000" w:themeColor="text1"/>
                <w:sz w:val="24"/>
                <w:szCs w:val="20"/>
                <w:highlight w:val="none"/>
                <w:u w:val="none"/>
                <w14:textFill>
                  <w14:solidFill>
                    <w14:schemeClr w14:val="tx1"/>
                  </w14:solidFill>
                </w14:textFill>
              </w:rPr>
            </w:pPr>
            <w:r>
              <w:rPr>
                <w:rFonts w:hint="default" w:ascii="Times New Roman" w:hAnsi="Times New Roman" w:eastAsia="宋体" w:cs="Times New Roman"/>
                <w:color w:val="000000" w:themeColor="text1"/>
                <w:sz w:val="24"/>
                <w:highlight w:val="none"/>
                <w:u w:val="none"/>
                <w14:textFill>
                  <w14:solidFill>
                    <w14:schemeClr w14:val="tx1"/>
                  </w14:solidFill>
                </w14:textFill>
              </w:rPr>
              <w:t>（6）总投资：</w:t>
            </w:r>
            <w:r>
              <w:rPr>
                <w:rFonts w:hint="default" w:ascii="Times New Roman" w:hAnsi="Times New Roman" w:eastAsia="宋体" w:cs="Times New Roman"/>
                <w:color w:val="000000" w:themeColor="text1"/>
                <w:sz w:val="24"/>
                <w:szCs w:val="20"/>
                <w:highlight w:val="none"/>
                <w:u w:val="none"/>
                <w14:textFill>
                  <w14:solidFill>
                    <w14:schemeClr w14:val="tx1"/>
                  </w14:solidFill>
                </w14:textFill>
              </w:rPr>
              <w:t>总投</w:t>
            </w:r>
            <w:r>
              <w:rPr>
                <w:rFonts w:hint="default" w:ascii="Times New Roman" w:hAnsi="Times New Roman" w:eastAsia="宋体" w:cs="Times New Roman"/>
                <w:color w:val="000000" w:themeColor="text1"/>
                <w:sz w:val="24"/>
                <w:highlight w:val="none"/>
                <w:u w:val="none"/>
                <w14:textFill>
                  <w14:solidFill>
                    <w14:schemeClr w14:val="tx1"/>
                  </w14:solidFill>
                </w14:textFill>
              </w:rPr>
              <w:t>资</w:t>
            </w:r>
            <w:r>
              <w:rPr>
                <w:rFonts w:hint="eastAsia" w:cs="Times New Roman"/>
                <w:color w:val="000000" w:themeColor="text1"/>
                <w:sz w:val="24"/>
                <w:highlight w:val="none"/>
                <w:lang w:val="en-US" w:eastAsia="zh-CN"/>
                <w14:textFill>
                  <w14:solidFill>
                    <w14:schemeClr w14:val="tx1"/>
                  </w14:solidFill>
                </w14:textFill>
              </w:rPr>
              <w:t>3413.53</w:t>
            </w:r>
            <w:r>
              <w:rPr>
                <w:rFonts w:hint="default" w:ascii="Times New Roman" w:hAnsi="Times New Roman" w:eastAsia="宋体" w:cs="Times New Roman"/>
                <w:color w:val="000000" w:themeColor="text1"/>
                <w:sz w:val="24"/>
                <w:highlight w:val="none"/>
                <w:u w:val="none"/>
                <w14:textFill>
                  <w14:solidFill>
                    <w14:schemeClr w14:val="tx1"/>
                  </w14:solidFill>
                </w14:textFill>
              </w:rPr>
              <w:t>万元</w:t>
            </w:r>
          </w:p>
          <w:p>
            <w:pPr>
              <w:spacing w:line="360" w:lineRule="auto"/>
              <w:ind w:firstLine="480" w:firstLineChars="200"/>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2.2主要建设内容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柳州市鹿寨县中渡镇马安村下拉屯</w:t>
            </w:r>
            <w:r>
              <w:rPr>
                <w:rFonts w:hint="default" w:ascii="Times New Roman" w:hAnsi="Times New Roman" w:eastAsia="宋体" w:cs="Times New Roman"/>
                <w:color w:val="000000" w:themeColor="text1"/>
                <w:sz w:val="24"/>
                <w14:textFill>
                  <w14:solidFill>
                    <w14:schemeClr w14:val="tx1"/>
                  </w14:solidFill>
                </w14:textFill>
              </w:rPr>
              <w:t>，地理位置中心坐标：</w:t>
            </w:r>
            <w:r>
              <w:rPr>
                <w:rFonts w:hint="default" w:ascii="Times New Roman" w:hAnsi="Times New Roman" w:eastAsia="宋体" w:cs="Times New Roman"/>
                <w:color w:val="000000" w:themeColor="text1"/>
                <w:sz w:val="24"/>
                <w:lang w:val="zh-CN"/>
                <w14:textFill>
                  <w14:solidFill>
                    <w14:schemeClr w14:val="tx1"/>
                  </w14:solidFill>
                </w14:textFill>
              </w:rPr>
              <w:t>（东经：</w:t>
            </w:r>
            <w:r>
              <w:rPr>
                <w:rFonts w:hint="default" w:ascii="Times New Roman" w:hAnsi="Times New Roman" w:eastAsia="宋体" w:cs="Times New Roman"/>
                <w:color w:val="000000" w:themeColor="text1"/>
                <w:sz w:val="24"/>
                <w:u w:val="none"/>
                <w:lang w:val="zh-CN"/>
                <w14:textFill>
                  <w14:solidFill>
                    <w14:schemeClr w14:val="tx1"/>
                  </w14:solidFill>
                </w14:textFill>
              </w:rPr>
              <w:t>1</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u w:val="none"/>
                <w:lang w:val="zh-CN"/>
                <w14:textFill>
                  <w14:solidFill>
                    <w14:schemeClr w14:val="tx1"/>
                  </w14:solidFill>
                </w14:textFill>
              </w:rPr>
              <w:t>度</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u w:val="none"/>
                <w:lang w:val="zh-CN"/>
                <w14:textFill>
                  <w14:solidFill>
                    <w14:schemeClr w14:val="tx1"/>
                  </w14:solidFill>
                </w14:textFill>
              </w:rPr>
              <w:t>分</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34.1209</w:t>
            </w:r>
            <w:r>
              <w:rPr>
                <w:rFonts w:hint="default" w:ascii="Times New Roman" w:hAnsi="Times New Roman" w:eastAsia="宋体" w:cs="Times New Roman"/>
                <w:color w:val="000000" w:themeColor="text1"/>
                <w:sz w:val="24"/>
                <w:u w:val="none"/>
                <w14:textFill>
                  <w14:solidFill>
                    <w14:schemeClr w14:val="tx1"/>
                  </w14:solidFill>
                </w14:textFill>
              </w:rPr>
              <w:t>秒，北纬</w:t>
            </w:r>
            <w:r>
              <w:rPr>
                <w:rFonts w:hint="default" w:ascii="Times New Roman" w:hAnsi="Times New Roman" w:eastAsia="宋体" w:cs="Times New Roman"/>
                <w:color w:val="000000" w:themeColor="text1"/>
                <w:sz w:val="24"/>
                <w:u w:val="none"/>
                <w:lang w:val="zh-CN"/>
                <w14:textFill>
                  <w14:solidFill>
                    <w14:schemeClr w14:val="tx1"/>
                  </w14:solidFill>
                </w14:textFill>
              </w:rPr>
              <w:t>：2</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u w:val="none"/>
                <w:lang w:val="zh-CN"/>
                <w14:textFill>
                  <w14:solidFill>
                    <w14:schemeClr w14:val="tx1"/>
                  </w14:solidFill>
                </w14:textFill>
              </w:rPr>
              <w:t>度</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u w:val="none"/>
                <w:lang w:val="zh-CN"/>
                <w14:textFill>
                  <w14:solidFill>
                    <w14:schemeClr w14:val="tx1"/>
                  </w14:solidFill>
                </w14:textFill>
              </w:rPr>
              <w:t>分</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10.8594</w:t>
            </w:r>
            <w:r>
              <w:rPr>
                <w:rFonts w:hint="default" w:ascii="Times New Roman" w:hAnsi="Times New Roman" w:eastAsia="宋体" w:cs="Times New Roman"/>
                <w:color w:val="000000" w:themeColor="text1"/>
                <w:sz w:val="24"/>
                <w14:textFill>
                  <w14:solidFill>
                    <w14:schemeClr w14:val="tx1"/>
                  </w14:solidFill>
                </w14:textFill>
              </w:rPr>
              <w:t>秒</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。项目总用地面积为13582.13</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折合20.37亩</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，总建筑面积5816.90</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，分为两期建设。其中：一期用地面积15.35亩</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10233.27</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，总建筑面积5816.90</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主要新建楼栋4栋，包括1#仓库、2#厂房、3#综合楼、4#锅炉房及1间门卫室，以及采购相关设备并安装，配套建设围墙、大门、道路、绿化等附属设施建设。二期用地面积5.02亩，主要建设36个停车位及相关附属设施等。项目所在地地理位置图</w:t>
            </w:r>
            <w:r>
              <w:rPr>
                <w:rFonts w:hint="default" w:ascii="Times New Roman" w:hAnsi="Times New Roman" w:eastAsia="宋体" w:cs="Times New Roman"/>
                <w:color w:val="000000" w:themeColor="text1"/>
                <w:sz w:val="24"/>
                <w:lang w:val="en-US" w:eastAsia="zh-CN"/>
                <w14:textFill>
                  <w14:solidFill>
                    <w14:schemeClr w14:val="tx1"/>
                  </w14:solidFill>
                </w14:textFill>
              </w:rPr>
              <w:t>见</w:t>
            </w:r>
            <w:r>
              <w:rPr>
                <w:rFonts w:hint="default" w:ascii="Times New Roman" w:hAnsi="Times New Roman" w:eastAsia="宋体" w:cs="Times New Roman"/>
                <w:color w:val="000000" w:themeColor="text1"/>
                <w:sz w:val="24"/>
                <w14:textFill>
                  <w14:solidFill>
                    <w14:schemeClr w14:val="tx1"/>
                  </w14:solidFill>
                </w14:textFill>
              </w:rPr>
              <w:t>附图1。</w:t>
            </w:r>
          </w:p>
          <w:p>
            <w:pPr>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本项目主要建设内容具体见下表。</w:t>
            </w:r>
          </w:p>
          <w:p>
            <w:pPr>
              <w:jc w:val="center"/>
              <w:rPr>
                <w:rFonts w:hint="default" w:ascii="Times New Roman" w:hAnsi="Times New Roman" w:eastAsia="宋体" w:cs="Times New Roman"/>
                <w:b/>
                <w:color w:val="000000" w:themeColor="text1"/>
                <w:sz w:val="24"/>
                <w:szCs w:val="20"/>
                <w14:textFill>
                  <w14:solidFill>
                    <w14:schemeClr w14:val="tx1"/>
                  </w14:solidFill>
                </w14:textFill>
              </w:rPr>
            </w:pPr>
            <w:bookmarkStart w:id="18" w:name="_Ref16300"/>
            <w:r>
              <w:rPr>
                <w:rFonts w:hint="default" w:ascii="Times New Roman" w:hAnsi="Times New Roman" w:eastAsia="宋体" w:cs="Times New Roman"/>
                <w:b/>
                <w:color w:val="000000" w:themeColor="text1"/>
                <w:sz w:val="24"/>
                <w:szCs w:val="20"/>
                <w14:textFill>
                  <w14:solidFill>
                    <w14:schemeClr w14:val="tx1"/>
                  </w14:solidFill>
                </w14:textFill>
              </w:rPr>
              <w:t>表2-1    建设项目</w:t>
            </w:r>
            <w:r>
              <w:rPr>
                <w:rFonts w:hint="eastAsia"/>
                <w:lang w:eastAsia="zh-CN"/>
              </w:rPr>
              <w:t>（</w:t>
            </w:r>
            <w:r>
              <w:rPr>
                <w:rFonts w:hint="eastAsia"/>
                <w:lang w:val="en-US" w:eastAsia="zh-CN"/>
              </w:rPr>
              <w:t>一期</w:t>
            </w:r>
            <w:r>
              <w:rPr>
                <w:rFonts w:hint="eastAsia"/>
                <w:lang w:eastAsia="zh-CN"/>
              </w:rPr>
              <w:t>）</w:t>
            </w:r>
            <w:r>
              <w:rPr>
                <w:rFonts w:hint="default" w:ascii="Times New Roman" w:hAnsi="Times New Roman" w:eastAsia="宋体" w:cs="Times New Roman"/>
                <w:b/>
                <w:color w:val="000000" w:themeColor="text1"/>
                <w:sz w:val="24"/>
                <w:szCs w:val="20"/>
                <w14:textFill>
                  <w14:solidFill>
                    <w14:schemeClr w14:val="tx1"/>
                  </w14:solidFill>
                </w14:textFill>
              </w:rPr>
              <w:t>主要建设内容一览表</w:t>
            </w:r>
            <w:bookmarkEnd w:id="18"/>
          </w:p>
          <w:tbl>
            <w:tblPr>
              <w:tblStyle w:val="33"/>
              <w:tblW w:w="487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589"/>
              <w:gridCol w:w="324"/>
              <w:gridCol w:w="156"/>
              <w:gridCol w:w="764"/>
              <w:gridCol w:w="4700"/>
              <w:gridCol w:w="14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工程</w:t>
                  </w:r>
                </w:p>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类别</w:t>
                  </w:r>
                </w:p>
              </w:tc>
              <w:tc>
                <w:tcPr>
                  <w:tcW w:w="1244" w:type="dxa"/>
                  <w:gridSpan w:val="3"/>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项目内容</w:t>
                  </w:r>
                </w:p>
              </w:tc>
              <w:tc>
                <w:tcPr>
                  <w:tcW w:w="4701"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设计规模</w:t>
                  </w:r>
                </w:p>
              </w:tc>
              <w:tc>
                <w:tcPr>
                  <w:tcW w:w="1472" w:type="dxa"/>
                  <w:vAlign w:val="center"/>
                </w:tcPr>
                <w:p>
                  <w:pPr>
                    <w:jc w:val="center"/>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cs="Times New Roman"/>
                      <w:b/>
                      <w:color w:val="000000" w:themeColor="text1"/>
                      <w:szCs w:val="21"/>
                      <w:lang w:eastAsia="zh-CN"/>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主体工程</w:t>
                  </w:r>
                </w:p>
              </w:tc>
              <w:tc>
                <w:tcPr>
                  <w:tcW w:w="1244" w:type="dxa"/>
                  <w:gridSpan w:val="3"/>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2#厂房</w:t>
                  </w:r>
                </w:p>
              </w:tc>
              <w:tc>
                <w:tcPr>
                  <w:tcW w:w="4701" w:type="dxa"/>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占地</w:t>
                  </w:r>
                  <w:r>
                    <w:rPr>
                      <w:rFonts w:hint="default" w:ascii="Times New Roman" w:hAnsi="Times New Roman" w:eastAsia="宋体" w:cs="Times New Roman"/>
                      <w:color w:val="000000" w:themeColor="text1"/>
                      <w:szCs w:val="21"/>
                      <w14:textFill>
                        <w14:solidFill>
                          <w14:schemeClr w14:val="tx1"/>
                        </w14:solidFill>
                      </w14:textFill>
                    </w:rPr>
                    <w:t>面积为</w:t>
                  </w:r>
                  <w:r>
                    <w:rPr>
                      <w:rFonts w:hint="eastAsia" w:cs="Times New Roman"/>
                      <w:color w:val="000000" w:themeColor="text1"/>
                      <w:szCs w:val="21"/>
                      <w:lang w:val="en-US" w:eastAsia="zh-CN"/>
                      <w14:textFill>
                        <w14:solidFill>
                          <w14:schemeClr w14:val="tx1"/>
                        </w14:solidFill>
                      </w14:textFill>
                    </w:rPr>
                    <w:t>5178.6</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，建筑面积</w:t>
                  </w:r>
                  <w:r>
                    <w:rPr>
                      <w:rFonts w:hint="eastAsia" w:cs="Times New Roman"/>
                      <w:color w:val="000000" w:themeColor="text1"/>
                      <w:szCs w:val="21"/>
                      <w:lang w:val="en-US" w:eastAsia="zh-CN"/>
                      <w14:textFill>
                        <w14:solidFill>
                          <w14:schemeClr w14:val="tx1"/>
                        </w14:solidFill>
                      </w14:textFill>
                    </w:rPr>
                    <w:t>3686.10</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高度11.30m，厂房</w:t>
                  </w:r>
                  <w:r>
                    <w:rPr>
                      <w:rFonts w:hint="default" w:ascii="Times New Roman" w:hAnsi="Times New Roman" w:eastAsia="宋体" w:cs="Times New Roman"/>
                      <w:color w:val="000000" w:themeColor="text1"/>
                      <w:szCs w:val="21"/>
                      <w14:textFill>
                        <w14:solidFill>
                          <w14:schemeClr w14:val="tx1"/>
                        </w14:solidFill>
                      </w14:textFill>
                    </w:rPr>
                    <w:t>内进行分区</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72" w:type="dxa"/>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其中</w:t>
                  </w:r>
                </w:p>
              </w:tc>
              <w:tc>
                <w:tcPr>
                  <w:tcW w:w="920" w:type="dxa"/>
                  <w:gridSpan w:val="2"/>
                  <w:vAlign w:val="center"/>
                </w:tcPr>
                <w:p>
                  <w:pPr>
                    <w:pStyle w:val="9"/>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大米预处理区</w:t>
                  </w:r>
                </w:p>
              </w:tc>
              <w:tc>
                <w:tcPr>
                  <w:tcW w:w="4701" w:type="dxa"/>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建筑</w:t>
                  </w:r>
                  <w:r>
                    <w:rPr>
                      <w:rFonts w:hint="default" w:ascii="Times New Roman" w:hAnsi="Times New Roman" w:eastAsia="宋体" w:cs="Times New Roman"/>
                      <w:color w:val="000000" w:themeColor="text1"/>
                      <w:szCs w:val="21"/>
                      <w14:textFill>
                        <w14:solidFill>
                          <w14:schemeClr w14:val="tx1"/>
                        </w14:solidFill>
                      </w14:textFill>
                    </w:rPr>
                    <w:t>面积为</w:t>
                  </w:r>
                  <w:r>
                    <w:rPr>
                      <w:rFonts w:hint="default" w:ascii="Times New Roman" w:hAnsi="Times New Roman" w:eastAsia="宋体" w:cs="Times New Roman"/>
                      <w:color w:val="000000" w:themeColor="text1"/>
                      <w:szCs w:val="21"/>
                      <w:lang w:val="en-US" w:eastAsia="zh-CN"/>
                      <w14:textFill>
                        <w14:solidFill>
                          <w14:schemeClr w14:val="tx1"/>
                        </w14:solidFill>
                      </w14:textFill>
                    </w:rPr>
                    <w:t>50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内</w:t>
                  </w:r>
                  <w:r>
                    <w:rPr>
                      <w:rFonts w:hint="default" w:ascii="Times New Roman" w:hAnsi="Times New Roman" w:eastAsia="宋体" w:cs="Times New Roman"/>
                      <w:color w:val="000000" w:themeColor="text1"/>
                      <w:szCs w:val="21"/>
                      <w14:textFill>
                        <w14:solidFill>
                          <w14:schemeClr w14:val="tx1"/>
                        </w14:solidFill>
                      </w14:textFill>
                    </w:rPr>
                    <w:t>设置有</w:t>
                  </w:r>
                  <w:r>
                    <w:rPr>
                      <w:rFonts w:hint="default" w:ascii="Times New Roman" w:hAnsi="Times New Roman" w:eastAsia="宋体" w:cs="Times New Roman"/>
                      <w:color w:val="000000" w:themeColor="text1"/>
                      <w:szCs w:val="21"/>
                      <w:lang w:val="en-US" w:eastAsia="zh-CN"/>
                      <w14:textFill>
                        <w14:solidFill>
                          <w14:schemeClr w14:val="tx1"/>
                        </w14:solidFill>
                      </w14:textFill>
                    </w:rPr>
                    <w:t>洗米缸</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泡米缸、</w:t>
                  </w:r>
                  <w:r>
                    <w:rPr>
                      <w:rFonts w:hint="default" w:ascii="Times New Roman" w:hAnsi="Times New Roman" w:eastAsia="宋体" w:cs="Times New Roman"/>
                      <w:color w:val="000000" w:themeColor="text1"/>
                      <w:szCs w:val="21"/>
                      <w14:textFill>
                        <w14:solidFill>
                          <w14:schemeClr w14:val="tx1"/>
                        </w14:solidFill>
                      </w14:textFill>
                    </w:rPr>
                    <w:t>磨浆机</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搅拌池、</w:t>
                  </w:r>
                  <w:r>
                    <w:rPr>
                      <w:rFonts w:hint="default" w:ascii="Times New Roman" w:hAnsi="Times New Roman" w:eastAsia="宋体" w:cs="Times New Roman"/>
                      <w:color w:val="000000" w:themeColor="text1"/>
                      <w:szCs w:val="21"/>
                      <w14:textFill>
                        <w14:solidFill>
                          <w14:schemeClr w14:val="tx1"/>
                        </w14:solidFill>
                      </w14:textFill>
                    </w:rPr>
                    <w:t>接浆池</w:t>
                  </w:r>
                  <w:r>
                    <w:rPr>
                      <w:rFonts w:hint="default" w:ascii="Times New Roman" w:hAnsi="Times New Roman" w:eastAsia="宋体" w:cs="Times New Roman"/>
                      <w:color w:val="000000" w:themeColor="text1"/>
                      <w:szCs w:val="21"/>
                      <w:lang w:val="en-US" w:eastAsia="zh-CN"/>
                      <w14:textFill>
                        <w14:solidFill>
                          <w14:schemeClr w14:val="tx1"/>
                        </w14:solidFill>
                      </w14:textFill>
                    </w:rPr>
                    <w:t>等。</w:t>
                  </w:r>
                </w:p>
              </w:tc>
              <w:tc>
                <w:tcPr>
                  <w:tcW w:w="1472"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pStyle w:val="9"/>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干米粉生产区</w:t>
                  </w:r>
                </w:p>
              </w:tc>
              <w:tc>
                <w:tcPr>
                  <w:tcW w:w="4701" w:type="dxa"/>
                  <w:shd w:val="clear" w:color="auto" w:fill="auto"/>
                  <w:vAlign w:val="center"/>
                </w:tcPr>
                <w:p>
                  <w:pPr>
                    <w:jc w:val="lef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Cs w:val="21"/>
                      <w:highlight w:val="none"/>
                      <w14:textFill>
                        <w14:solidFill>
                          <w14:schemeClr w14:val="tx1"/>
                        </w14:solidFill>
                      </w14:textFill>
                    </w:rPr>
                    <w:t>面积为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u w:val="none"/>
                      <w:lang w:val="en-US" w:eastAsia="zh-CN"/>
                      <w14:textFill>
                        <w14:solidFill>
                          <w14:schemeClr w14:val="tx1"/>
                        </w14:solidFill>
                      </w14:textFill>
                    </w:rPr>
                    <w:t>包括</w:t>
                  </w: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1条</w:t>
                  </w:r>
                  <w:r>
                    <w:rPr>
                      <w:rFonts w:hint="eastAsia" w:cs="Times New Roman"/>
                      <w:color w:val="000000" w:themeColor="text1"/>
                      <w:szCs w:val="21"/>
                      <w:highlight w:val="none"/>
                      <w:u w:val="none"/>
                      <w:lang w:val="en-US" w:eastAsia="zh-CN"/>
                      <w14:textFill>
                        <w14:solidFill>
                          <w14:schemeClr w14:val="tx1"/>
                        </w14:solidFill>
                      </w14:textFill>
                    </w:rPr>
                    <w:t>干米粉生产线、带老化干米粉生产线、粉丝切断运输线、干米粉粉丝烘干线</w:t>
                  </w: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自动生产线的所有</w:t>
                  </w:r>
                  <w: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t>加工设备</w:t>
                  </w:r>
                  <w:r>
                    <w:rPr>
                      <w:rFonts w:hint="eastAsia" w:cs="Times New Roman"/>
                      <w:color w:val="000000" w:themeColor="text1"/>
                      <w:szCs w:val="21"/>
                      <w:highlight w:val="none"/>
                      <w:u w:val="none"/>
                      <w:lang w:eastAsia="zh-CN"/>
                      <w14:textFill>
                        <w14:solidFill>
                          <w14:schemeClr w14:val="tx1"/>
                        </w14:solidFill>
                      </w14:textFill>
                    </w:rPr>
                    <w:t>、</w:t>
                  </w:r>
                  <w:r>
                    <w:rPr>
                      <w:rFonts w:hint="eastAsia" w:cs="Times New Roman"/>
                      <w:color w:val="000000" w:themeColor="text1"/>
                      <w:szCs w:val="21"/>
                      <w:highlight w:val="none"/>
                      <w:u w:val="none"/>
                      <w:lang w:val="en-US" w:eastAsia="zh-CN"/>
                      <w14:textFill>
                        <w14:solidFill>
                          <w14:schemeClr w14:val="tx1"/>
                        </w14:solidFill>
                      </w14:textFill>
                    </w:rPr>
                    <w:t>成品区、切丝计量区</w:t>
                  </w:r>
                  <w: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鲜榨粉和河粉生产区</w:t>
                  </w:r>
                </w:p>
              </w:tc>
              <w:tc>
                <w:tcPr>
                  <w:tcW w:w="4701" w:type="dxa"/>
                  <w:shd w:val="clear" w:color="auto" w:fill="auto"/>
                  <w:vAlign w:val="center"/>
                </w:tcPr>
                <w:p>
                  <w:pPr>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Cs w:val="21"/>
                      <w:highlight w:val="none"/>
                      <w14:textFill>
                        <w14:solidFill>
                          <w14:schemeClr w14:val="tx1"/>
                        </w14:solidFill>
                      </w14:textFill>
                    </w:rPr>
                    <w:t>面积为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包括一条鲜榨粉和河粉两用生产线</w:t>
                  </w: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的所有</w:t>
                  </w:r>
                  <w: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t>加工设备</w:t>
                  </w:r>
                  <w:r>
                    <w:rPr>
                      <w:rFonts w:hint="eastAsia" w:cs="Times New Roman"/>
                      <w:color w:val="000000" w:themeColor="text1"/>
                      <w:szCs w:val="21"/>
                      <w:highlight w:val="none"/>
                      <w:lang w:val="en-US" w:eastAsia="zh-CN"/>
                      <w14:textFill>
                        <w14:solidFill>
                          <w14:schemeClr w14:val="tx1"/>
                        </w14:solidFill>
                      </w14:textFill>
                    </w:rPr>
                    <w:t>，成品区、无菌包装区、无菌区、蒸粉区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包装</w:t>
                  </w:r>
                  <w:r>
                    <w:rPr>
                      <w:rFonts w:hint="default" w:ascii="Times New Roman" w:hAnsi="Times New Roman" w:eastAsia="宋体" w:cs="Times New Roman"/>
                      <w:color w:val="000000" w:themeColor="text1"/>
                      <w:szCs w:val="21"/>
                      <w:lang w:val="en-US" w:eastAsia="zh-CN"/>
                      <w14:textFill>
                        <w14:solidFill>
                          <w14:schemeClr w14:val="tx1"/>
                        </w14:solidFill>
                      </w14:textFill>
                    </w:rPr>
                    <w:t>和产品暂存区</w:t>
                  </w:r>
                </w:p>
              </w:tc>
              <w:tc>
                <w:tcPr>
                  <w:tcW w:w="4701" w:type="dxa"/>
                  <w:shd w:val="clear" w:color="auto" w:fill="auto"/>
                  <w:vAlign w:val="center"/>
                </w:tcPr>
                <w:p>
                  <w:pPr>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Cs w:val="21"/>
                      <w:highlight w:val="none"/>
                      <w14:textFill>
                        <w14:solidFill>
                          <w14:schemeClr w14:val="tx1"/>
                        </w14:solidFill>
                      </w14:textFill>
                    </w:rPr>
                    <w:t>面积为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建筑面积100m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tcBorders>
                    <w:bottom w:val="single" w:color="auto" w:sz="4" w:space="0"/>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储运工程</w:t>
                  </w:r>
                </w:p>
              </w:tc>
              <w:tc>
                <w:tcPr>
                  <w:tcW w:w="1244" w:type="dxa"/>
                  <w:gridSpan w:val="3"/>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1#仓库</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占地面积</w:t>
                  </w:r>
                  <w:r>
                    <w:rPr>
                      <w:rFonts w:hint="eastAsia" w:cs="Times New Roman"/>
                      <w:color w:val="000000" w:themeColor="text1"/>
                      <w:szCs w:val="21"/>
                      <w:lang w:val="en-US" w:eastAsia="zh-CN"/>
                      <w14:textFill>
                        <w14:solidFill>
                          <w14:schemeClr w14:val="tx1"/>
                        </w14:solidFill>
                      </w14:textFill>
                    </w:rPr>
                    <w:t>912</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建筑面积</w:t>
                  </w:r>
                  <w:r>
                    <w:rPr>
                      <w:rFonts w:hint="eastAsia" w:cs="Times New Roman"/>
                      <w:color w:val="000000" w:themeColor="text1"/>
                      <w:szCs w:val="21"/>
                      <w:lang w:val="en-US" w:eastAsia="zh-CN"/>
                      <w14:textFill>
                        <w14:solidFill>
                          <w14:schemeClr w14:val="tx1"/>
                        </w14:solidFill>
                      </w14:textFill>
                    </w:rPr>
                    <w:t>1021.87</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，高度8.89m，地上建筑912</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，地下消防水池109.87</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，一层主要为仓库功能，用于储存米粉，局部做设备用房（地下消防水池、水泵房、水泵控制室）</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55" w:hRule="atLeast"/>
                <w:jc w:val="center"/>
              </w:trPr>
              <w:tc>
                <w:tcPr>
                  <w:tcW w:w="589" w:type="dxa"/>
                  <w:vMerge w:val="restar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辅助工程</w:t>
                  </w:r>
                </w:p>
              </w:tc>
              <w:tc>
                <w:tcPr>
                  <w:tcW w:w="1244" w:type="dxa"/>
                  <w:gridSpan w:val="3"/>
                  <w:tcBorders>
                    <w:bottom w:val="single" w:color="auto" w:sz="4" w:space="0"/>
                  </w:tcBorders>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3#综合楼</w:t>
                  </w:r>
                </w:p>
              </w:tc>
              <w:tc>
                <w:tcPr>
                  <w:tcW w:w="4701" w:type="dxa"/>
                  <w:tcBorders>
                    <w:bottom w:val="single" w:color="auto" w:sz="4" w:space="0"/>
                  </w:tcBorders>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占地面积691.2</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层建筑，</w:t>
                  </w:r>
                  <w:r>
                    <w:rPr>
                      <w:rFonts w:hint="default" w:ascii="Times New Roman" w:hAnsi="Times New Roman" w:eastAsia="宋体" w:cs="Times New Roman"/>
                      <w:color w:val="000000" w:themeColor="text1"/>
                      <w:szCs w:val="21"/>
                      <w:highlight w:val="none"/>
                      <w14:textFill>
                        <w14:solidFill>
                          <w14:schemeClr w14:val="tx1"/>
                        </w14:solidFill>
                      </w14:textFill>
                    </w:rPr>
                    <w:t>建筑高度15.60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建筑面积10</w:t>
                  </w:r>
                  <w:r>
                    <w:rPr>
                      <w:rFonts w:hint="eastAsia" w:ascii="Times New Roman" w:hAnsi="Times New Roman" w:eastAsia="宋体" w:cs="Times New Roman"/>
                      <w:color w:val="000000" w:themeColor="text1"/>
                      <w:szCs w:val="21"/>
                      <w:lang w:val="en-US" w:eastAsia="zh-CN"/>
                      <w14:textFill>
                        <w14:solidFill>
                          <w14:schemeClr w14:val="tx1"/>
                        </w14:solidFill>
                      </w14:textFill>
                    </w:rPr>
                    <w:t>79</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28</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p>
              </w:tc>
              <w:tc>
                <w:tcPr>
                  <w:tcW w:w="1472" w:type="dxa"/>
                  <w:vMerge w:val="restar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5" w:hRule="atLeast"/>
                <w:jc w:val="center"/>
              </w:trPr>
              <w:tc>
                <w:tcPr>
                  <w:tcW w:w="589"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c>
                <w:tcPr>
                  <w:tcW w:w="480" w:type="dxa"/>
                  <w:gridSpan w:val="2"/>
                  <w:vMerge w:val="restart"/>
                  <w:tcBorders>
                    <w:top w:val="single" w:color="auto" w:sz="4" w:space="0"/>
                    <w:right w:val="single" w:color="auto" w:sz="4" w:space="0"/>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其中</w:t>
                  </w:r>
                </w:p>
              </w:tc>
              <w:tc>
                <w:tcPr>
                  <w:tcW w:w="764" w:type="dxa"/>
                  <w:tcBorders>
                    <w:top w:val="single" w:color="auto" w:sz="4" w:space="0"/>
                    <w:left w:val="single" w:color="auto" w:sz="4" w:space="0"/>
                    <w:bottom w:val="single" w:color="auto" w:sz="4" w:space="0"/>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1层</w:t>
                  </w:r>
                </w:p>
              </w:tc>
              <w:tc>
                <w:tcPr>
                  <w:tcW w:w="4701" w:type="dxa"/>
                  <w:tcBorders>
                    <w:top w:val="single" w:color="auto" w:sz="4" w:space="0"/>
                    <w:bottom w:val="single" w:color="auto" w:sz="4" w:space="0"/>
                  </w:tcBorders>
                  <w:vAlign w:val="center"/>
                </w:tcPr>
                <w:p>
                  <w:pPr>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建筑面积259.2</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，主要包括接待室25.16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，大堂及成品展示区51.68</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，办公室25.16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两间</w:t>
                  </w:r>
                </w:p>
              </w:tc>
              <w:tc>
                <w:tcPr>
                  <w:tcW w:w="1472"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81" w:hRule="atLeast"/>
                <w:jc w:val="center"/>
              </w:trPr>
              <w:tc>
                <w:tcPr>
                  <w:tcW w:w="589"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c>
                <w:tcPr>
                  <w:tcW w:w="480" w:type="dxa"/>
                  <w:gridSpan w:val="2"/>
                  <w:vMerge w:val="continue"/>
                  <w:tcBorders>
                    <w:right w:val="single" w:color="auto" w:sz="4" w:space="0"/>
                  </w:tcBorders>
                  <w:vAlign w:val="center"/>
                </w:tcPr>
                <w:p>
                  <w:pPr>
                    <w:jc w:val="center"/>
                    <w:rPr>
                      <w:rFonts w:hint="eastAsia" w:cs="Times New Roman"/>
                      <w:color w:val="000000" w:themeColor="text1"/>
                      <w:szCs w:val="21"/>
                      <w:lang w:val="en-US" w:eastAsia="zh-CN"/>
                      <w14:textFill>
                        <w14:solidFill>
                          <w14:schemeClr w14:val="tx1"/>
                        </w14:solidFill>
                      </w14:textFill>
                    </w:rPr>
                  </w:pPr>
                </w:p>
              </w:tc>
              <w:tc>
                <w:tcPr>
                  <w:tcW w:w="764" w:type="dxa"/>
                  <w:tcBorders>
                    <w:top w:val="single" w:color="auto" w:sz="4" w:space="0"/>
                    <w:left w:val="single" w:color="auto" w:sz="4" w:space="0"/>
                    <w:bottom w:val="single" w:color="auto" w:sz="4" w:space="0"/>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2层</w:t>
                  </w:r>
                </w:p>
              </w:tc>
              <w:tc>
                <w:tcPr>
                  <w:tcW w:w="4701" w:type="dxa"/>
                  <w:tcBorders>
                    <w:top w:val="single" w:color="auto" w:sz="4" w:space="0"/>
                    <w:bottom w:val="single" w:color="auto" w:sz="4" w:space="0"/>
                  </w:tcBorders>
                  <w:vAlign w:val="center"/>
                </w:tcPr>
                <w:p>
                  <w:pPr>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建筑面积259.2</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，主要包括办公室25.16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，产品研究室25.16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两间，会议室51.68</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1472"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81" w:hRule="atLeast"/>
                <w:jc w:val="center"/>
              </w:trPr>
              <w:tc>
                <w:tcPr>
                  <w:tcW w:w="589"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c>
                <w:tcPr>
                  <w:tcW w:w="480" w:type="dxa"/>
                  <w:gridSpan w:val="2"/>
                  <w:vMerge w:val="continue"/>
                  <w:tcBorders>
                    <w:right w:val="single" w:color="auto" w:sz="4" w:space="0"/>
                  </w:tcBorders>
                  <w:vAlign w:val="center"/>
                </w:tcPr>
                <w:p>
                  <w:pPr>
                    <w:jc w:val="center"/>
                    <w:rPr>
                      <w:rFonts w:hint="eastAsia" w:cs="Times New Roman"/>
                      <w:color w:val="000000" w:themeColor="text1"/>
                      <w:szCs w:val="21"/>
                      <w:lang w:val="en-US" w:eastAsia="zh-CN"/>
                      <w14:textFill>
                        <w14:solidFill>
                          <w14:schemeClr w14:val="tx1"/>
                        </w14:solidFill>
                      </w14:textFill>
                    </w:rPr>
                  </w:pPr>
                </w:p>
              </w:tc>
              <w:tc>
                <w:tcPr>
                  <w:tcW w:w="764" w:type="dxa"/>
                  <w:tcBorders>
                    <w:top w:val="single" w:color="auto" w:sz="4" w:space="0"/>
                    <w:left w:val="single" w:color="auto" w:sz="4" w:space="0"/>
                    <w:bottom w:val="single" w:color="auto" w:sz="4" w:space="0"/>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3层</w:t>
                  </w:r>
                </w:p>
              </w:tc>
              <w:tc>
                <w:tcPr>
                  <w:tcW w:w="4701" w:type="dxa"/>
                  <w:tcBorders>
                    <w:top w:val="single" w:color="auto" w:sz="4" w:space="0"/>
                    <w:bottom w:val="single" w:color="auto" w:sz="4" w:space="0"/>
                  </w:tcBorders>
                  <w:vAlign w:val="center"/>
                </w:tcPr>
                <w:p>
                  <w:pPr>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建筑面积259.2</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，5间17.39</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的倒班房</w:t>
                  </w:r>
                </w:p>
              </w:tc>
              <w:tc>
                <w:tcPr>
                  <w:tcW w:w="1472"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9" w:hRule="atLeast"/>
                <w:jc w:val="center"/>
              </w:trPr>
              <w:tc>
                <w:tcPr>
                  <w:tcW w:w="589"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c>
                <w:tcPr>
                  <w:tcW w:w="480" w:type="dxa"/>
                  <w:gridSpan w:val="2"/>
                  <w:vMerge w:val="continue"/>
                  <w:tcBorders>
                    <w:right w:val="single" w:color="auto" w:sz="4" w:space="0"/>
                  </w:tcBorders>
                  <w:vAlign w:val="center"/>
                </w:tcPr>
                <w:p>
                  <w:pPr>
                    <w:jc w:val="center"/>
                    <w:rPr>
                      <w:rFonts w:hint="eastAsia" w:cs="Times New Roman"/>
                      <w:color w:val="000000" w:themeColor="text1"/>
                      <w:szCs w:val="21"/>
                      <w:lang w:val="en-US" w:eastAsia="zh-CN"/>
                      <w14:textFill>
                        <w14:solidFill>
                          <w14:schemeClr w14:val="tx1"/>
                        </w14:solidFill>
                      </w14:textFill>
                    </w:rPr>
                  </w:pPr>
                </w:p>
              </w:tc>
              <w:tc>
                <w:tcPr>
                  <w:tcW w:w="764" w:type="dxa"/>
                  <w:tcBorders>
                    <w:top w:val="single" w:color="auto" w:sz="4" w:space="0"/>
                    <w:left w:val="single" w:color="auto" w:sz="4" w:space="0"/>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4层</w:t>
                  </w:r>
                </w:p>
              </w:tc>
              <w:tc>
                <w:tcPr>
                  <w:tcW w:w="4701" w:type="dxa"/>
                  <w:tcBorders>
                    <w:top w:val="single" w:color="auto" w:sz="4" w:space="0"/>
                  </w:tcBorders>
                  <w:vAlign w:val="center"/>
                </w:tcPr>
                <w:p>
                  <w:pPr>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建筑面积259.2</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，3间25.16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办公室，餐厅51.68</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1472" w:type="dxa"/>
                  <w:vMerge w:val="continue"/>
                  <w:vAlign w:val="center"/>
                </w:tcPr>
                <w:p>
                  <w:pPr>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44" w:type="dxa"/>
                  <w:gridSpan w:val="3"/>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门卫室</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间，占地面积为</w:t>
                  </w:r>
                  <w:r>
                    <w:rPr>
                      <w:rFonts w:hint="eastAsia" w:cs="Times New Roman"/>
                      <w:color w:val="000000" w:themeColor="text1"/>
                      <w:szCs w:val="21"/>
                      <w:lang w:val="en-US" w:eastAsia="zh-CN"/>
                      <w14:textFill>
                        <w14:solidFill>
                          <w14:schemeClr w14:val="tx1"/>
                        </w14:solidFill>
                      </w14:textFill>
                    </w:rPr>
                    <w:t>15</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建筑面积</w:t>
                  </w:r>
                  <w:r>
                    <w:rPr>
                      <w:rFonts w:hint="eastAsia" w:cs="Times New Roman"/>
                      <w:color w:val="000000" w:themeColor="text1"/>
                      <w:szCs w:val="21"/>
                      <w:lang w:val="en-US" w:eastAsia="zh-CN"/>
                      <w14:textFill>
                        <w14:solidFill>
                          <w14:schemeClr w14:val="tx1"/>
                        </w14:solidFill>
                      </w14:textFill>
                    </w:rPr>
                    <w:t>15</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44" w:type="dxa"/>
                  <w:gridSpan w:val="3"/>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lang w:val="en-US" w:eastAsia="zh-CN"/>
                      <w14:textFill>
                        <w14:solidFill>
                          <w14:schemeClr w14:val="tx1"/>
                        </w14:solidFill>
                      </w14:textFill>
                    </w:rPr>
                    <w:t>锅炉房</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1间，占地面积为</w:t>
                  </w:r>
                  <w:r>
                    <w:rPr>
                      <w:rFonts w:hint="eastAsia" w:cs="Times New Roman"/>
                      <w:color w:val="000000" w:themeColor="text1"/>
                      <w:szCs w:val="21"/>
                      <w:lang w:val="en-US" w:eastAsia="zh-CN"/>
                      <w14:textFill>
                        <w14:solidFill>
                          <w14:schemeClr w14:val="tx1"/>
                        </w14:solidFill>
                      </w14:textFill>
                    </w:rPr>
                    <w:t>117</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建筑面积</w:t>
                  </w:r>
                  <w:r>
                    <w:rPr>
                      <w:rFonts w:hint="eastAsia" w:cs="Times New Roman"/>
                      <w:color w:val="000000" w:themeColor="text1"/>
                      <w:szCs w:val="21"/>
                      <w:lang w:val="en-US" w:eastAsia="zh-CN"/>
                      <w14:textFill>
                        <w14:solidFill>
                          <w14:schemeClr w14:val="tx1"/>
                        </w14:solidFill>
                      </w14:textFill>
                    </w:rPr>
                    <w:t>117</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vertAlign w:val="baseline"/>
                      <w:lang w:val="en-US" w:eastAsia="zh-CN"/>
                      <w14:textFill>
                        <w14:solidFill>
                          <w14:schemeClr w14:val="tx1"/>
                        </w14:solidFill>
                      </w14:textFill>
                    </w:rPr>
                    <w:t>高度6m，</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内部安装</w:t>
                  </w:r>
                  <w:r>
                    <w:rPr>
                      <w:rFonts w:hint="eastAsia" w:cs="Times New Roman"/>
                      <w:color w:val="000000" w:themeColor="text1"/>
                      <w:sz w:val="21"/>
                      <w:szCs w:val="21"/>
                      <w:u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t/h的生物质蒸汽锅炉。</w:t>
                  </w:r>
                </w:p>
              </w:tc>
              <w:tc>
                <w:tcPr>
                  <w:tcW w:w="1472" w:type="dxa"/>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公用工程</w:t>
                  </w:r>
                </w:p>
              </w:tc>
              <w:tc>
                <w:tcPr>
                  <w:tcW w:w="1244" w:type="dxa"/>
                  <w:gridSpan w:val="3"/>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排水</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①本项目实行雨污分流的排水体制；</w:t>
                  </w:r>
                </w:p>
                <w:p>
                  <w:pPr>
                    <w:pStyle w:val="42"/>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w:t>
                  </w:r>
                  <w:r>
                    <w:rPr>
                      <w:rFonts w:hint="default" w:ascii="Times New Roman" w:hAnsi="Times New Roman" w:eastAsia="宋体" w:cs="Times New Roman"/>
                      <w:color w:val="000000" w:themeColor="text1"/>
                      <w:szCs w:val="21"/>
                      <w14:textFill>
                        <w14:solidFill>
                          <w14:schemeClr w14:val="tx1"/>
                        </w14:solidFill>
                      </w14:textFill>
                    </w:rPr>
                    <w:t>雨水通过地面沟渠排入</w:t>
                  </w:r>
                  <w:r>
                    <w:rPr>
                      <w:rFonts w:hint="eastAsia" w:cs="Times New Roman"/>
                      <w:color w:val="000000" w:themeColor="text1"/>
                      <w:szCs w:val="21"/>
                      <w:lang w:val="en-US" w:eastAsia="zh-CN"/>
                      <w14:textFill>
                        <w14:solidFill>
                          <w14:schemeClr w14:val="tx1"/>
                        </w14:solidFill>
                      </w14:textFill>
                    </w:rPr>
                    <w:t>沉淀池，沉淀后排入</w:t>
                  </w:r>
                  <w:r>
                    <w:rPr>
                      <w:rFonts w:hint="default" w:ascii="Times New Roman" w:hAnsi="Times New Roman" w:eastAsia="宋体" w:cs="Times New Roman"/>
                      <w:color w:val="000000" w:themeColor="text1"/>
                      <w:szCs w:val="21"/>
                      <w:lang w:val="en-US" w:eastAsia="zh-CN"/>
                      <w14:textFill>
                        <w14:solidFill>
                          <w14:schemeClr w14:val="tx1"/>
                        </w14:solidFill>
                      </w14:textFill>
                    </w:rPr>
                    <w:t>周边雨水沟</w:t>
                  </w:r>
                  <w:r>
                    <w:rPr>
                      <w:rFonts w:hint="eastAsia" w:cs="Times New Roman"/>
                      <w:color w:val="000000" w:themeColor="text1"/>
                      <w:szCs w:val="21"/>
                      <w:lang w:val="en-US" w:eastAsia="zh-CN"/>
                      <w14:textFill>
                        <w14:solidFill>
                          <w14:schemeClr w14:val="tx1"/>
                        </w14:solidFill>
                      </w14:textFill>
                    </w:rPr>
                    <w:t>，初期雨水进入雨水池，用于厂区绿化</w:t>
                  </w:r>
                  <w:r>
                    <w:rPr>
                      <w:rFonts w:hint="default" w:ascii="Times New Roman" w:hAnsi="Times New Roman" w:eastAsia="宋体" w:cs="Times New Roman"/>
                      <w:color w:val="000000" w:themeColor="text1"/>
                      <w:szCs w:val="21"/>
                      <w14:textFill>
                        <w14:solidFill>
                          <w14:schemeClr w14:val="tx1"/>
                        </w14:solidFill>
                      </w14:textFill>
                    </w:rPr>
                    <w:t>；</w:t>
                  </w:r>
                </w:p>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REF 排水路径 \h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项目生活</w:t>
                  </w:r>
                  <w:r>
                    <w:rPr>
                      <w:rFonts w:hint="default" w:ascii="Times New Roman" w:hAnsi="Times New Roman" w:eastAsia="宋体" w:cs="Times New Roman"/>
                      <w:color w:val="000000" w:themeColor="text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Cs w:val="21"/>
                      <w14:textFill>
                        <w14:solidFill>
                          <w14:schemeClr w14:val="tx1"/>
                        </w14:solidFill>
                      </w14:textFill>
                    </w:rPr>
                    <w:t>和生产废水经过自建的污水处理站处理后满足《污水综合排放标准》（GB8978-1996）表4中一级标准</w:t>
                  </w:r>
                  <w:r>
                    <w:rPr>
                      <w:rFonts w:hint="default" w:ascii="Times New Roman" w:hAnsi="Times New Roman" w:eastAsia="宋体" w:cs="Times New Roman"/>
                      <w:color w:val="000000" w:themeColor="text1"/>
                      <w:u w:val="none"/>
                      <w:lang w:val="en-US" w:eastAsia="zh-CN"/>
                      <w14:textFill>
                        <w14:solidFill>
                          <w14:schemeClr w14:val="tx1"/>
                        </w14:solidFill>
                      </w14:textFill>
                    </w:rPr>
                    <w:t>后用</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eastAsia" w:cs="Times New Roman"/>
                      <w:color w:val="000000" w:themeColor="text1"/>
                      <w:szCs w:val="21"/>
                      <w:lang w:val="en-US" w:eastAsia="zh-CN"/>
                      <w14:textFill>
                        <w14:solidFill>
                          <w14:schemeClr w14:val="tx1"/>
                        </w14:solidFill>
                      </w14:textFill>
                    </w:rPr>
                    <w:t>排入附近河流</w:t>
                  </w:r>
                  <w:r>
                    <w:rPr>
                      <w:rFonts w:hint="default" w:ascii="Times New Roman" w:hAnsi="Times New Roman" w:eastAsia="宋体" w:cs="Times New Roman"/>
                      <w:color w:val="000000" w:themeColor="text1"/>
                      <w:szCs w:val="21"/>
                      <w14:textFill>
                        <w14:solidFill>
                          <w14:schemeClr w14:val="tx1"/>
                        </w14:solidFill>
                      </w14:textFill>
                    </w:rPr>
                    <w:t>。</w:t>
                  </w:r>
                </w:p>
              </w:tc>
              <w:tc>
                <w:tcPr>
                  <w:tcW w:w="1472" w:type="dxa"/>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44" w:type="dxa"/>
                  <w:gridSpan w:val="3"/>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供水</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由当地自来水管网供给</w:t>
                  </w:r>
                </w:p>
              </w:tc>
              <w:tc>
                <w:tcPr>
                  <w:tcW w:w="1472" w:type="dxa"/>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44" w:type="dxa"/>
                  <w:gridSpan w:val="3"/>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供电</w:t>
                  </w:r>
                </w:p>
              </w:tc>
              <w:tc>
                <w:tcPr>
                  <w:tcW w:w="4701" w:type="dxa"/>
                  <w:vAlign w:val="center"/>
                </w:tcPr>
                <w:p>
                  <w:pPr>
                    <w:jc w:val="lef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由当地供电网提供</w:t>
                  </w:r>
                </w:p>
              </w:tc>
              <w:tc>
                <w:tcPr>
                  <w:tcW w:w="1472" w:type="dxa"/>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环保工程</w:t>
                  </w:r>
                </w:p>
              </w:tc>
              <w:tc>
                <w:tcPr>
                  <w:tcW w:w="324"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920" w:type="dxa"/>
                  <w:gridSpan w:val="2"/>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生活污水</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生活污水经化粪池预处理再</w:t>
                  </w:r>
                  <w:r>
                    <w:rPr>
                      <w:rFonts w:hint="eastAsia" w:cs="Times New Roman"/>
                      <w:color w:val="000000" w:themeColor="text1"/>
                      <w:szCs w:val="21"/>
                      <w:lang w:eastAsia="zh-CN"/>
                      <w14:textFill>
                        <w14:solidFill>
                          <w14:schemeClr w14:val="tx1"/>
                        </w14:solidFill>
                      </w14:textFill>
                    </w:rPr>
                    <w:t>经</w:t>
                  </w:r>
                  <w:r>
                    <w:rPr>
                      <w:rFonts w:hint="default" w:ascii="Times New Roman" w:hAnsi="Times New Roman" w:eastAsia="宋体" w:cs="Times New Roman"/>
                      <w:color w:val="000000" w:themeColor="text1"/>
                      <w:szCs w:val="21"/>
                      <w14:textFill>
                        <w14:solidFill>
                          <w14:schemeClr w14:val="tx1"/>
                        </w14:solidFill>
                      </w14:textFill>
                    </w:rPr>
                    <w:t>自建的污水处理站处理后满足</w:t>
                  </w:r>
                  <w:r>
                    <w:rPr>
                      <w:rFonts w:hint="eastAsia" w:cs="Times New Roman"/>
                      <w:color w:val="000000" w:themeColor="text1"/>
                      <w:u w:val="none"/>
                      <w:lang w:val="en-US" w:eastAsia="zh-CN"/>
                      <w14:textFill>
                        <w14:solidFill>
                          <w14:schemeClr w14:val="tx1"/>
                        </w14:solidFill>
                      </w14:textFill>
                    </w:rPr>
                    <w:t>排入附近河流</w:t>
                  </w:r>
                  <w:r>
                    <w:rPr>
                      <w:rFonts w:hint="default" w:ascii="Times New Roman" w:hAnsi="Times New Roman" w:eastAsia="宋体" w:cs="Times New Roman"/>
                      <w:color w:val="000000" w:themeColor="text1"/>
                      <w:u w:val="none"/>
                      <w:lang w:val="en-US" w:eastAsia="zh-CN"/>
                      <w14:textFill>
                        <w14:solidFill>
                          <w14:schemeClr w14:val="tx1"/>
                        </w14:solidFill>
                      </w14:textFill>
                    </w:rPr>
                    <w:t>。</w:t>
                  </w:r>
                </w:p>
              </w:tc>
              <w:tc>
                <w:tcPr>
                  <w:tcW w:w="1472"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生产废水</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①磨浆、搅拌用水全部进入产品；</w:t>
                  </w:r>
                </w:p>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②洗米、泡米、设备清洗</w:t>
                  </w:r>
                  <w:r>
                    <w:rPr>
                      <w:rFonts w:hint="default" w:ascii="Times New Roman" w:hAnsi="Times New Roman" w:eastAsia="宋体" w:cs="Times New Roman"/>
                      <w:color w:val="000000" w:themeColor="text1"/>
                      <w:szCs w:val="21"/>
                      <w:lang w:val="en-US" w:eastAsia="zh-CN"/>
                      <w14:textFill>
                        <w14:solidFill>
                          <w14:schemeClr w14:val="tx1"/>
                        </w14:solidFill>
                      </w14:textFill>
                    </w:rPr>
                    <w:t>和地面冲洗</w:t>
                  </w:r>
                  <w:r>
                    <w:rPr>
                      <w:rFonts w:hint="default" w:ascii="Times New Roman" w:hAnsi="Times New Roman" w:eastAsia="宋体" w:cs="Times New Roman"/>
                      <w:color w:val="000000" w:themeColor="text1"/>
                      <w:szCs w:val="21"/>
                      <w14:textFill>
                        <w14:solidFill>
                          <w14:schemeClr w14:val="tx1"/>
                        </w14:solidFill>
                      </w14:textFill>
                    </w:rPr>
                    <w:t>等生产废水经自建的污水处理站处理后</w:t>
                  </w:r>
                  <w:r>
                    <w:rPr>
                      <w:rFonts w:hint="eastAsia" w:cs="Times New Roman"/>
                      <w:color w:val="000000" w:themeColor="text1"/>
                      <w:szCs w:val="21"/>
                      <w:lang w:val="en-US" w:eastAsia="zh-CN"/>
                      <w14:textFill>
                        <w14:solidFill>
                          <w14:schemeClr w14:val="tx1"/>
                        </w14:solidFill>
                      </w14:textFill>
                    </w:rPr>
                    <w:t>排入附近河流</w:t>
                  </w:r>
                  <w:r>
                    <w:rPr>
                      <w:rFonts w:hint="default" w:ascii="Times New Roman" w:hAnsi="Times New Roman" w:eastAsia="宋体" w:cs="Times New Roman"/>
                      <w:color w:val="000000" w:themeColor="text1"/>
                      <w:szCs w:val="21"/>
                      <w14:textFill>
                        <w14:solidFill>
                          <w14:schemeClr w14:val="tx1"/>
                        </w14:solidFill>
                      </w14:textFill>
                    </w:rPr>
                    <w:t>；本项目在厂内建设污水收集管网，收集的生产废水进入自建的污水处理站处理，其处理规模为</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0t/d</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工艺为</w:t>
                  </w:r>
                  <w:r>
                    <w:rPr>
                      <w:rFonts w:hint="eastAsia" w:ascii="Times New Roman" w:hAnsi="Times New Roman" w:eastAsia="宋体" w:cs="Times New Roman"/>
                      <w:color w:val="000000" w:themeColor="text1"/>
                      <w:szCs w:val="21"/>
                      <w:lang w:val="en-US" w:eastAsia="zh-CN"/>
                      <w14:textFill>
                        <w14:solidFill>
                          <w14:schemeClr w14:val="tx1"/>
                        </w14:solidFill>
                      </w14:textFill>
                    </w:rPr>
                    <w:t>格栅+调节+</w:t>
                  </w:r>
                  <w:r>
                    <w:rPr>
                      <w:rFonts w:hint="eastAsia" w:cs="Times New Roman"/>
                      <w:color w:val="000000" w:themeColor="text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szCs w:val="21"/>
                      <w:lang w:val="en-US" w:eastAsia="zh-CN"/>
                      <w14:textFill>
                        <w14:solidFill>
                          <w14:schemeClr w14:val="tx1"/>
                        </w14:solidFill>
                      </w14:textFill>
                    </w:rPr>
                    <w:t>厌氧+好氧+二次沉淀+清水池（消毒）+砂过滤</w:t>
                  </w:r>
                  <w:r>
                    <w:rPr>
                      <w:rFonts w:hint="default" w:ascii="Times New Roman" w:hAnsi="Times New Roman" w:eastAsia="宋体" w:cs="Times New Roman"/>
                      <w:color w:val="000000" w:themeColor="text1"/>
                      <w:szCs w:val="21"/>
                      <w14:textFill>
                        <w14:solidFill>
                          <w14:schemeClr w14:val="tx1"/>
                        </w14:solidFill>
                      </w14:textFill>
                    </w:rPr>
                    <w:t>→出水</w:t>
                  </w:r>
                  <w:r>
                    <w:rPr>
                      <w:rFonts w:hint="eastAsia" w:cs="Times New Roman"/>
                      <w:color w:val="000000" w:themeColor="text1"/>
                      <w:szCs w:val="21"/>
                      <w:lang w:eastAsia="zh-CN"/>
                      <w14:textFill>
                        <w14:solidFill>
                          <w14:schemeClr w14:val="tx1"/>
                        </w14:solidFill>
                      </w14:textFill>
                    </w:rPr>
                    <w:t>。</w:t>
                  </w:r>
                  <w:r>
                    <w:rPr>
                      <w:rFonts w:hint="eastAsia"/>
                      <w:lang w:val="en-US" w:eastAsia="zh-CN"/>
                    </w:rPr>
                    <w:t>处理后废水满足</w:t>
                  </w:r>
                  <w:r>
                    <w:rPr>
                      <w:rFonts w:hint="default" w:ascii="Times New Roman" w:hAnsi="Times New Roman" w:eastAsia="宋体" w:cs="Times New Roman"/>
                      <w:color w:val="000000" w:themeColor="text1"/>
                      <w:szCs w:val="21"/>
                      <w14:textFill>
                        <w14:solidFill>
                          <w14:schemeClr w14:val="tx1"/>
                        </w14:solidFill>
                      </w14:textFill>
                    </w:rPr>
                    <w:t>《污水综合排放标准》（GB8978-1996）表4中一级标准</w:t>
                  </w:r>
                </w:p>
              </w:tc>
              <w:tc>
                <w:tcPr>
                  <w:tcW w:w="1472" w:type="dxa"/>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920" w:type="dxa"/>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车间异味</w:t>
                  </w:r>
                </w:p>
              </w:tc>
              <w:tc>
                <w:tcPr>
                  <w:tcW w:w="4701"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车间采用窗户通风及通风机强制通风。</w:t>
                  </w:r>
                </w:p>
              </w:tc>
              <w:tc>
                <w:tcPr>
                  <w:tcW w:w="1472" w:type="dxa"/>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淀粉开包</w:t>
                  </w:r>
                  <w:r>
                    <w:rPr>
                      <w:rFonts w:hint="default" w:ascii="Times New Roman" w:hAnsi="Times New Roman" w:eastAsia="宋体" w:cs="Times New Roman"/>
                      <w:color w:val="000000" w:themeColor="text1"/>
                      <w:szCs w:val="21"/>
                      <w:lang w:val="en-US" w:eastAsia="zh-CN"/>
                      <w14:textFill>
                        <w14:solidFill>
                          <w14:schemeClr w14:val="tx1"/>
                        </w14:solidFill>
                      </w14:textFill>
                    </w:rPr>
                    <w:t>和</w:t>
                  </w:r>
                  <w:r>
                    <w:rPr>
                      <w:rFonts w:hint="default" w:ascii="Times New Roman" w:hAnsi="Times New Roman" w:eastAsia="宋体" w:cs="Times New Roman"/>
                      <w:color w:val="000000" w:themeColor="text1"/>
                      <w:szCs w:val="21"/>
                      <w:lang w:eastAsia="zh-CN"/>
                      <w14:textFill>
                        <w14:solidFill>
                          <w14:schemeClr w14:val="tx1"/>
                        </w14:solidFill>
                      </w14:textFill>
                    </w:rPr>
                    <w:t>投料粉尘</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采取加强车间通风措施减少无组织粉尘产生</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最后</w:t>
                  </w:r>
                  <w:r>
                    <w:rPr>
                      <w:rFonts w:hint="default" w:ascii="Times New Roman" w:hAnsi="Times New Roman" w:eastAsia="宋体" w:cs="Times New Roman"/>
                      <w:color w:val="000000" w:themeColor="text1"/>
                      <w:szCs w:val="21"/>
                      <w14:textFill>
                        <w14:solidFill>
                          <w14:schemeClr w14:val="tx1"/>
                        </w14:solidFill>
                      </w14:textFill>
                    </w:rPr>
                    <w:t>通过车间扩散至外环境，在车间无组织排放。</w:t>
                  </w:r>
                </w:p>
              </w:tc>
              <w:tc>
                <w:tcPr>
                  <w:tcW w:w="1472" w:type="dxa"/>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锅炉废气</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旋风除尘+布袋除尘</w:t>
                  </w:r>
                  <w:r>
                    <w:rPr>
                      <w:rFonts w:hint="eastAsia" w:cs="Times New Roman"/>
                      <w:color w:val="000000" w:themeColor="text1"/>
                      <w:szCs w:val="21"/>
                      <w:lang w:eastAsia="zh-CN"/>
                      <w14:textFill>
                        <w14:solidFill>
                          <w14:schemeClr w14:val="tx1"/>
                        </w14:solidFill>
                      </w14:textFill>
                    </w:rPr>
                    <w:t>+30m</w:t>
                  </w:r>
                  <w:r>
                    <w:rPr>
                      <w:rFonts w:hint="default" w:ascii="Times New Roman" w:hAnsi="Times New Roman" w:eastAsia="宋体" w:cs="Times New Roman"/>
                      <w:color w:val="000000" w:themeColor="text1"/>
                      <w:szCs w:val="21"/>
                      <w14:textFill>
                        <w14:solidFill>
                          <w14:schemeClr w14:val="tx1"/>
                        </w14:solidFill>
                      </w14:textFill>
                    </w:rPr>
                    <w:t>高的排气筒（DA001）</w:t>
                  </w:r>
                </w:p>
              </w:tc>
              <w:tc>
                <w:tcPr>
                  <w:tcW w:w="1472"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pStyle w:val="42"/>
                    <w:rPr>
                      <w:rFonts w:hint="default" w:ascii="Times New Roman" w:hAnsi="Times New Roman" w:eastAsia="宋体" w:cs="Times New Roman"/>
                      <w:color w:val="000000" w:themeColor="text1"/>
                      <w14:textFill>
                        <w14:solidFill>
                          <w14:schemeClr w14:val="tx1"/>
                        </w14:solidFill>
                      </w14:textFill>
                    </w:rPr>
                  </w:pPr>
                </w:p>
              </w:tc>
              <w:tc>
                <w:tcPr>
                  <w:tcW w:w="324"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18"/>
                      <w:szCs w:val="18"/>
                      <w14:textFill>
                        <w14:solidFill>
                          <w14:schemeClr w14:val="tx1"/>
                        </w14:solidFill>
                      </w14:textFill>
                    </w:rPr>
                    <w:t>噪声</w:t>
                  </w:r>
                </w:p>
              </w:tc>
              <w:tc>
                <w:tcPr>
                  <w:tcW w:w="920" w:type="dxa"/>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4701" w:type="dxa"/>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合理设备布置、减震、墙体隔声处理等措施</w:t>
                  </w:r>
                </w:p>
              </w:tc>
              <w:tc>
                <w:tcPr>
                  <w:tcW w:w="1472"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pStyle w:val="42"/>
                    <w:rPr>
                      <w:rFonts w:hint="default" w:ascii="Times New Roman" w:hAnsi="Times New Roman" w:eastAsia="宋体" w:cs="Times New Roman"/>
                      <w:color w:val="000000" w:themeColor="text1"/>
                      <w14:textFill>
                        <w14:solidFill>
                          <w14:schemeClr w14:val="tx1"/>
                        </w14:solidFill>
                      </w14:textFill>
                    </w:rPr>
                  </w:pPr>
                </w:p>
              </w:tc>
              <w:tc>
                <w:tcPr>
                  <w:tcW w:w="324" w:type="dxa"/>
                  <w:vMerge w:val="restart"/>
                  <w:vAlign w:val="center"/>
                </w:tcPr>
                <w:p>
                  <w:pPr>
                    <w:jc w:val="center"/>
                    <w:rPr>
                      <w:rFonts w:hint="default" w:ascii="Times New Roman" w:hAnsi="Times New Roman" w:eastAsia="宋体" w:cs="Times New Roman"/>
                      <w:color w:val="000000" w:themeColor="text1"/>
                      <w:kern w:val="0"/>
                      <w:sz w:val="18"/>
                      <w:szCs w:val="18"/>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920" w:type="dxa"/>
                  <w:gridSpan w:val="2"/>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w:t>
                  </w:r>
                </w:p>
              </w:tc>
              <w:tc>
                <w:tcPr>
                  <w:tcW w:w="4701" w:type="dxa"/>
                  <w:vAlign w:val="center"/>
                </w:tcPr>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设置垃圾收集桶若干，生活垃圾经分类装袋收集后由环卫部门收集处理。</w:t>
                  </w:r>
                </w:p>
              </w:tc>
              <w:tc>
                <w:tcPr>
                  <w:tcW w:w="1472" w:type="dxa"/>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9" w:type="dxa"/>
                  <w:vMerge w:val="continue"/>
                  <w:vAlign w:val="center"/>
                </w:tcPr>
                <w:p>
                  <w:pPr>
                    <w:pStyle w:val="42"/>
                    <w:rPr>
                      <w:rFonts w:hint="default" w:ascii="Times New Roman" w:hAnsi="Times New Roman" w:eastAsia="宋体" w:cs="Times New Roman"/>
                      <w:color w:val="000000" w:themeColor="text1"/>
                      <w14:textFill>
                        <w14:solidFill>
                          <w14:schemeClr w14:val="tx1"/>
                        </w14:solidFill>
                      </w14:textFill>
                    </w:rPr>
                  </w:pPr>
                </w:p>
              </w:tc>
              <w:tc>
                <w:tcPr>
                  <w:tcW w:w="324" w:type="dxa"/>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920" w:type="dxa"/>
                  <w:gridSpan w:val="2"/>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一般工业固体废物暂存间</w:t>
                  </w:r>
                </w:p>
              </w:tc>
              <w:tc>
                <w:tcPr>
                  <w:tcW w:w="4701" w:type="dxa"/>
                  <w:vAlign w:val="center"/>
                </w:tcPr>
                <w:p>
                  <w:pPr>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①生产车间</w:t>
                  </w:r>
                  <w:r>
                    <w:rPr>
                      <w:rFonts w:hint="default" w:ascii="Times New Roman" w:hAnsi="Times New Roman" w:eastAsia="宋体" w:cs="Times New Roman"/>
                      <w:color w:val="000000" w:themeColor="text1"/>
                      <w:lang w:val="en-US" w:eastAsia="zh-CN"/>
                      <w14:textFill>
                        <w14:solidFill>
                          <w14:schemeClr w14:val="tx1"/>
                        </w14:solidFill>
                      </w14:textFill>
                    </w:rPr>
                    <w:t>南</w:t>
                  </w:r>
                  <w:r>
                    <w:rPr>
                      <w:rFonts w:hint="default" w:ascii="Times New Roman" w:hAnsi="Times New Roman" w:eastAsia="宋体" w:cs="Times New Roman"/>
                      <w:color w:val="000000" w:themeColor="text1"/>
                      <w14:textFill>
                        <w14:solidFill>
                          <w14:schemeClr w14:val="tx1"/>
                        </w14:solidFill>
                      </w14:textFill>
                    </w:rPr>
                    <w:t>面设置1个</w:t>
                  </w:r>
                  <w:r>
                    <w:rPr>
                      <w:rFonts w:hint="default" w:ascii="Times New Roman" w:hAnsi="Times New Roman"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的一般工业固体废物暂存间</w:t>
                  </w:r>
                  <w:r>
                    <w:rPr>
                      <w:rFonts w:hint="default" w:ascii="Times New Roman" w:hAnsi="Times New Roman" w:eastAsia="宋体" w:cs="Times New Roman"/>
                      <w:color w:val="000000" w:themeColor="text1"/>
                      <w:lang w:eastAsia="zh-CN"/>
                      <w14:textFill>
                        <w14:solidFill>
                          <w14:schemeClr w14:val="tx1"/>
                        </w14:solidFill>
                      </w14:textFill>
                    </w:rPr>
                    <w:t>；</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②生物质</w:t>
                  </w:r>
                  <w:r>
                    <w:rPr>
                      <w:rFonts w:hint="default" w:ascii="Times New Roman" w:hAnsi="Times New Roman" w:eastAsia="宋体" w:cs="Times New Roman"/>
                      <w:color w:val="000000" w:themeColor="text1"/>
                      <w:lang w:eastAsia="zh-CN"/>
                      <w14:textFill>
                        <w14:solidFill>
                          <w14:schemeClr w14:val="tx1"/>
                        </w14:solidFill>
                      </w14:textFill>
                    </w:rPr>
                    <w:t>蒸汽锅炉</w:t>
                  </w:r>
                  <w:r>
                    <w:rPr>
                      <w:rFonts w:hint="default" w:ascii="Times New Roman" w:hAnsi="Times New Roman" w:eastAsia="宋体" w:cs="Times New Roman"/>
                      <w:color w:val="000000" w:themeColor="text1"/>
                      <w14:textFill>
                        <w14:solidFill>
                          <w14:schemeClr w14:val="tx1"/>
                        </w14:solidFill>
                      </w14:textFill>
                    </w:rPr>
                    <w:t>产生的灰渣定期</w:t>
                  </w:r>
                  <w:r>
                    <w:rPr>
                      <w:rFonts w:hint="eastAsia" w:cs="Times New Roman"/>
                      <w:color w:val="000000" w:themeColor="text1"/>
                      <w:lang w:eastAsia="zh-CN"/>
                      <w14:textFill>
                        <w14:solidFill>
                          <w14:schemeClr w14:val="tx1"/>
                        </w14:solidFill>
                      </w14:textFill>
                    </w:rPr>
                    <w:t>清除</w:t>
                  </w:r>
                  <w:r>
                    <w:rPr>
                      <w:rFonts w:hint="default" w:ascii="Times New Roman" w:hAnsi="Times New Roman" w:eastAsia="宋体" w:cs="Times New Roman"/>
                      <w:color w:val="000000" w:themeColor="text1"/>
                      <w14:textFill>
                        <w14:solidFill>
                          <w14:schemeClr w14:val="tx1"/>
                        </w14:solidFill>
                      </w14:textFill>
                    </w:rPr>
                    <w:t>后，给周边农户用于农地施肥；</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③废包装材料经收集后进行外售处置；</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④污水处理设备污泥委托环卫部门进行抽吸转运处置；</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⑤边角料（碎米粉）收集后</w:t>
                  </w:r>
                  <w:r>
                    <w:rPr>
                      <w:rFonts w:hint="default" w:ascii="Times New Roman" w:hAnsi="Times New Roman" w:eastAsia="宋体" w:cs="Times New Roman"/>
                      <w:color w:val="000000" w:themeColor="text1"/>
                      <w:lang w:val="en-US" w:eastAsia="zh-CN"/>
                      <w14:textFill>
                        <w14:solidFill>
                          <w14:schemeClr w14:val="tx1"/>
                        </w14:solidFill>
                      </w14:textFill>
                    </w:rPr>
                    <w:t>外售</w:t>
                  </w:r>
                  <w:r>
                    <w:rPr>
                      <w:rFonts w:hint="default" w:ascii="Times New Roman" w:hAnsi="Times New Roman" w:eastAsia="宋体" w:cs="Times New Roman"/>
                      <w:color w:val="000000" w:themeColor="text1"/>
                      <w14:textFill>
                        <w14:solidFill>
                          <w14:schemeClr w14:val="tx1"/>
                        </w14:solidFill>
                      </w14:textFill>
                    </w:rPr>
                    <w:t>综合利用。</w:t>
                  </w:r>
                </w:p>
              </w:tc>
              <w:tc>
                <w:tcPr>
                  <w:tcW w:w="1472" w:type="dxa"/>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w:t>
                  </w:r>
                  <w:r>
                    <w:rPr>
                      <w:rFonts w:hint="eastAsia" w:cs="Times New Roman"/>
                      <w:color w:val="000000" w:themeColor="text1"/>
                      <w:szCs w:val="21"/>
                      <w:lang w:eastAsia="zh-CN"/>
                      <w14:textFill>
                        <w14:solidFill>
                          <w14:schemeClr w14:val="tx1"/>
                        </w14:solidFill>
                      </w14:textFill>
                    </w:rPr>
                    <w:t>建</w:t>
                  </w:r>
                </w:p>
              </w:tc>
            </w:tr>
          </w:tbl>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bookmarkStart w:id="19" w:name="_Toc199864572"/>
            <w:bookmarkStart w:id="20" w:name="_Toc199863630"/>
            <w:bookmarkStart w:id="21" w:name="_Toc477271133"/>
            <w:bookmarkStart w:id="22" w:name="_Toc477271066"/>
            <w:bookmarkStart w:id="23" w:name="_Toc200085588"/>
            <w:bookmarkStart w:id="24" w:name="_Toc199863578"/>
            <w:bookmarkStart w:id="25" w:name="_Toc477271011"/>
            <w:bookmarkStart w:id="26" w:name="_Toc199863442"/>
            <w:bookmarkStart w:id="27" w:name="_Toc200086381"/>
            <w:bookmarkStart w:id="28" w:name="_Toc199864520"/>
            <w:bookmarkStart w:id="29" w:name="_Toc199863390"/>
            <w:bookmarkStart w:id="30" w:name="_Toc200086328"/>
            <w:bookmarkStart w:id="31" w:name="_Toc477271189"/>
            <w:bookmarkStart w:id="32" w:name="_Toc200085640"/>
            <w:r>
              <w:rPr>
                <w:rFonts w:hint="default" w:ascii="Times New Roman" w:hAnsi="Times New Roman" w:eastAsia="宋体" w:cs="Times New Roman"/>
                <w:b/>
                <w:color w:val="000000" w:themeColor="text1"/>
                <w:sz w:val="24"/>
                <w14:textFill>
                  <w14:solidFill>
                    <w14:schemeClr w14:val="tx1"/>
                  </w14:solidFill>
                </w14:textFill>
              </w:rPr>
              <w:t>3、产品方案</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根据建设单位提供资料可知，本项目投产运营后能达到年产</w:t>
            </w:r>
            <w:r>
              <w:rPr>
                <w:rFonts w:hint="eastAsia" w:cs="Times New Roman"/>
                <w:color w:val="000000" w:themeColor="text1"/>
                <w:sz w:val="24"/>
                <w:lang w:val="en-US" w:eastAsia="zh-CN"/>
                <w14:textFill>
                  <w14:solidFill>
                    <w14:schemeClr w14:val="tx1"/>
                  </w14:solidFill>
                </w14:textFill>
              </w:rPr>
              <w:t>10000</w:t>
            </w:r>
            <w:r>
              <w:rPr>
                <w:rFonts w:hint="default" w:ascii="Times New Roman" w:hAnsi="Times New Roman" w:eastAsia="宋体" w:cs="Times New Roman"/>
                <w:color w:val="000000" w:themeColor="text1"/>
                <w:sz w:val="24"/>
                <w14:textFill>
                  <w14:solidFill>
                    <w14:schemeClr w14:val="tx1"/>
                  </w14:solidFill>
                </w14:textFill>
              </w:rPr>
              <w:t>吨米粉的生产规模，本项目主要产品如下表：</w:t>
            </w:r>
          </w:p>
          <w:p>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 xml:space="preserve">表2-2   </w:t>
            </w:r>
            <w:r>
              <w:rPr>
                <w:rFonts w:hint="default" w:ascii="Times New Roman" w:hAnsi="Times New Roman" w:eastAsia="宋体" w:cs="Times New Roman"/>
                <w:b/>
                <w:color w:val="000000" w:themeColor="text1"/>
                <w:sz w:val="24"/>
                <w:szCs w:val="20"/>
                <w14:textFill>
                  <w14:solidFill>
                    <w14:schemeClr w14:val="tx1"/>
                  </w14:solidFill>
                </w14:textFill>
              </w:rPr>
              <w:t>项目主要产品方案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95"/>
              <w:gridCol w:w="1806"/>
              <w:gridCol w:w="1926"/>
              <w:gridCol w:w="29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09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产品名称</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年产量</w:t>
                  </w:r>
                </w:p>
              </w:tc>
              <w:tc>
                <w:tcPr>
                  <w:tcW w:w="18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9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直条米粉</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4000</w:t>
                  </w:r>
                  <w:r>
                    <w:rPr>
                      <w:rFonts w:hint="default" w:ascii="Times New Roman" w:hAnsi="Times New Roman" w:eastAsia="宋体" w:cs="Times New Roman"/>
                      <w:color w:val="000000" w:themeColor="text1"/>
                      <w:sz w:val="21"/>
                      <w:szCs w:val="21"/>
                      <w:lang w:val="zh-CN"/>
                      <w14:textFill>
                        <w14:solidFill>
                          <w14:schemeClr w14:val="tx1"/>
                        </w14:solidFill>
                      </w14:textFill>
                    </w:rPr>
                    <w:t>t</w:t>
                  </w:r>
                </w:p>
              </w:tc>
              <w:tc>
                <w:tcPr>
                  <w:tcW w:w="18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含水率≤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14.5</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09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干切米粉</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3500</w:t>
                  </w:r>
                  <w:r>
                    <w:rPr>
                      <w:rFonts w:hint="default" w:ascii="Times New Roman" w:hAnsi="Times New Roman" w:eastAsia="宋体" w:cs="Times New Roman"/>
                      <w:color w:val="000000" w:themeColor="text1"/>
                      <w:sz w:val="21"/>
                      <w:szCs w:val="21"/>
                      <w:lang w:val="zh-CN"/>
                      <w14:textFill>
                        <w14:solidFill>
                          <w14:schemeClr w14:val="tx1"/>
                        </w14:solidFill>
                      </w14:textFill>
                    </w:rPr>
                    <w:t>t</w:t>
                  </w:r>
                </w:p>
              </w:tc>
              <w:tc>
                <w:tcPr>
                  <w:tcW w:w="18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含水率≤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14.5</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09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鲜米粉</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2500t</w:t>
                  </w:r>
                </w:p>
              </w:tc>
              <w:tc>
                <w:tcPr>
                  <w:tcW w:w="18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含水率≥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09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10000</w:t>
                  </w:r>
                  <w:r>
                    <w:rPr>
                      <w:rFonts w:hint="default" w:ascii="Times New Roman" w:hAnsi="Times New Roman" w:eastAsia="宋体" w:cs="Times New Roman"/>
                      <w:color w:val="000000" w:themeColor="text1"/>
                      <w:sz w:val="21"/>
                      <w:szCs w:val="21"/>
                      <w:lang w:val="zh-CN"/>
                      <w14:textFill>
                        <w14:solidFill>
                          <w14:schemeClr w14:val="tx1"/>
                        </w14:solidFill>
                      </w14:textFill>
                    </w:rPr>
                    <w:t>t</w:t>
                  </w:r>
                </w:p>
              </w:tc>
              <w:tc>
                <w:tcPr>
                  <w:tcW w:w="18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bCs/>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产品质量标准：项目米粉的感官要求和质量指标</w:t>
            </w:r>
            <w:r>
              <w:rPr>
                <w:rFonts w:hint="eastAsia" w:cs="Times New Roman"/>
                <w:color w:val="000000" w:themeColor="text1"/>
                <w:sz w:val="24"/>
                <w:lang w:val="en-US" w:eastAsia="zh-CN"/>
                <w14:textFill>
                  <w14:solidFill>
                    <w14:schemeClr w14:val="tx1"/>
                  </w14:solidFill>
                </w14:textFill>
              </w:rPr>
              <w:t>按照</w:t>
            </w:r>
            <w:r>
              <w:rPr>
                <w:rFonts w:hint="default" w:ascii="Times New Roman" w:hAnsi="Times New Roman" w:eastAsia="宋体" w:cs="Times New Roman"/>
                <w:bCs/>
                <w:color w:val="000000" w:themeColor="text1"/>
                <w:sz w:val="24"/>
                <w:u w:val="none"/>
                <w14:textFill>
                  <w14:solidFill>
                    <w14:schemeClr w14:val="tx1"/>
                  </w14:solidFill>
                </w14:textFill>
              </w:rPr>
              <w:t>《</w:t>
            </w:r>
            <w:r>
              <w:rPr>
                <w:rFonts w:hint="default" w:ascii="Times New Roman" w:hAnsi="Times New Roman" w:eastAsia="宋体" w:cs="Times New Roman"/>
                <w:bCs/>
                <w:color w:val="000000" w:themeColor="text1"/>
                <w:sz w:val="24"/>
                <w:u w:val="none"/>
                <w:lang w:eastAsia="zh-CN"/>
                <w14:textFill>
                  <w14:solidFill>
                    <w14:schemeClr w14:val="tx1"/>
                  </w14:solidFill>
                </w14:textFill>
              </w:rPr>
              <w:t>食品安全企业标准</w:t>
            </w:r>
            <w:r>
              <w:rPr>
                <w:rFonts w:hint="default" w:ascii="Times New Roman" w:hAnsi="Times New Roman" w:eastAsia="宋体" w:cs="Times New Roman"/>
                <w:bCs/>
                <w:color w:val="000000" w:themeColor="text1"/>
                <w:sz w:val="24"/>
                <w:u w:val="none"/>
                <w:lang w:val="en-US" w:eastAsia="zh-CN"/>
                <w14:textFill>
                  <w14:solidFill>
                    <w14:schemeClr w14:val="tx1"/>
                  </w14:solidFill>
                </w14:textFill>
              </w:rPr>
              <w:t xml:space="preserve"> 米粉</w:t>
            </w:r>
            <w:r>
              <w:rPr>
                <w:rFonts w:hint="default" w:ascii="Times New Roman" w:hAnsi="Times New Roman" w:eastAsia="宋体" w:cs="Times New Roman"/>
                <w:bCs/>
                <w:color w:val="000000" w:themeColor="text1"/>
                <w:sz w:val="24"/>
                <w:u w:val="none"/>
                <w14:textFill>
                  <w14:solidFill>
                    <w14:schemeClr w14:val="tx1"/>
                  </w14:solidFill>
                </w14:textFill>
              </w:rPr>
              <w:t>》（</w:t>
            </w:r>
            <w:r>
              <w:rPr>
                <w:rFonts w:hint="default" w:ascii="Times New Roman" w:hAnsi="Times New Roman" w:eastAsia="宋体" w:cs="Times New Roman"/>
                <w:bCs/>
                <w:color w:val="000000" w:themeColor="text1"/>
                <w:sz w:val="24"/>
                <w:u w:val="none"/>
                <w:lang w:val="en-US" w:eastAsia="zh-CN"/>
                <w14:textFill>
                  <w14:solidFill>
                    <w14:schemeClr w14:val="tx1"/>
                  </w14:solidFill>
                </w14:textFill>
              </w:rPr>
              <w:t>Q/HNHG 0001S-2018</w:t>
            </w:r>
            <w:r>
              <w:rPr>
                <w:rFonts w:hint="default" w:ascii="Times New Roman" w:hAnsi="Times New Roman" w:eastAsia="宋体" w:cs="Times New Roman"/>
                <w:bCs/>
                <w:color w:val="000000" w:themeColor="text1"/>
                <w:sz w:val="24"/>
                <w:u w:val="none"/>
                <w14:textFill>
                  <w14:solidFill>
                    <w14:schemeClr w14:val="tx1"/>
                  </w14:solidFill>
                </w14:textFill>
              </w:rPr>
              <w:t>）要求执行。产品主要质量指标如下：</w:t>
            </w:r>
          </w:p>
          <w:p>
            <w:pPr>
              <w:jc w:val="center"/>
              <w:rPr>
                <w:rFonts w:hint="default" w:ascii="Times New Roman" w:hAnsi="Times New Roman" w:eastAsia="宋体" w:cs="Times New Roman"/>
                <w:color w:val="000000" w:themeColor="text1"/>
                <w:sz w:val="32"/>
                <w:u w:val="none"/>
                <w14:textFill>
                  <w14:solidFill>
                    <w14:schemeClr w14:val="tx1"/>
                  </w14:solidFill>
                </w14:textFill>
              </w:rPr>
            </w:pPr>
            <w:r>
              <w:rPr>
                <w:rFonts w:hint="default" w:ascii="Times New Roman" w:hAnsi="Times New Roman" w:eastAsia="宋体" w:cs="Times New Roman"/>
                <w:b/>
                <w:bCs/>
                <w:color w:val="000000" w:themeColor="text1"/>
                <w:sz w:val="24"/>
                <w:szCs w:val="21"/>
                <w:u w:val="none"/>
                <w14:textFill>
                  <w14:solidFill>
                    <w14:schemeClr w14:val="tx1"/>
                  </w14:solidFill>
                </w14:textFill>
              </w:rPr>
              <w:t>表</w:t>
            </w:r>
            <w:r>
              <w:rPr>
                <w:rFonts w:hint="default" w:ascii="Times New Roman" w:hAnsi="Times New Roman" w:eastAsia="宋体" w:cs="Times New Roman"/>
                <w:b/>
                <w:bCs/>
                <w:color w:val="000000" w:themeColor="text1"/>
                <w:sz w:val="24"/>
                <w:szCs w:val="21"/>
                <w:u w:val="none"/>
                <w:lang w:val="en-US" w:eastAsia="zh-CN"/>
                <w14:textFill>
                  <w14:solidFill>
                    <w14:schemeClr w14:val="tx1"/>
                  </w14:solidFill>
                </w14:textFill>
              </w:rPr>
              <w:t xml:space="preserve">2-3 </w:t>
            </w:r>
            <w:r>
              <w:rPr>
                <w:rFonts w:hint="default" w:ascii="Times New Roman" w:hAnsi="Times New Roman" w:eastAsia="宋体" w:cs="Times New Roman"/>
                <w:b/>
                <w:bCs/>
                <w:color w:val="000000" w:themeColor="text1"/>
                <w:sz w:val="24"/>
                <w:szCs w:val="21"/>
                <w:u w:val="none"/>
                <w14:textFill>
                  <w14:solidFill>
                    <w14:schemeClr w14:val="tx1"/>
                  </w14:solidFill>
                </w14:textFill>
              </w:rPr>
              <w:t xml:space="preserve"> 米粉产品出厂控制质量标准</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1815"/>
              <w:gridCol w:w="1965"/>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项目</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u w:val="none"/>
                      <w:lang w:val="en-US" w:eastAsia="zh-CN"/>
                      <w14:textFill>
                        <w14:solidFill>
                          <w14:schemeClr w14:val="tx1"/>
                        </w14:solidFill>
                      </w14:textFill>
                    </w:rPr>
                    <w:t>直条米粉</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u w:val="none"/>
                      <w:lang w:val="en-US" w:eastAsia="zh-CN"/>
                      <w14:textFill>
                        <w14:solidFill>
                          <w14:schemeClr w14:val="tx1"/>
                        </w14:solidFill>
                      </w14:textFill>
                    </w:rPr>
                  </w:pPr>
                  <w:r>
                    <w:rPr>
                      <w:rFonts w:hint="eastAsia" w:cs="Times New Roman"/>
                      <w:b/>
                      <w:bCs w:val="0"/>
                      <w:color w:val="000000" w:themeColor="text1"/>
                      <w:sz w:val="21"/>
                      <w:szCs w:val="21"/>
                      <w:u w:val="none"/>
                      <w:lang w:val="en-US" w:eastAsia="zh-CN"/>
                      <w14:textFill>
                        <w14:solidFill>
                          <w14:schemeClr w14:val="tx1"/>
                        </w14:solidFill>
                      </w14:textFill>
                    </w:rPr>
                    <w:t>干切米粉</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u w:val="none"/>
                      <w:lang w:val="en-US" w:eastAsia="zh-CN"/>
                      <w14:textFill>
                        <w14:solidFill>
                          <w14:schemeClr w14:val="tx1"/>
                        </w14:solidFill>
                      </w14:textFill>
                    </w:rPr>
                  </w:pPr>
                  <w:r>
                    <w:rPr>
                      <w:rFonts w:hint="eastAsia" w:cs="Times New Roman"/>
                      <w:b/>
                      <w:bCs w:val="0"/>
                      <w:color w:val="000000" w:themeColor="text1"/>
                      <w:sz w:val="21"/>
                      <w:szCs w:val="21"/>
                      <w:u w:val="none"/>
                      <w:lang w:val="en-US" w:eastAsia="zh-CN"/>
                      <w14:textFill>
                        <w14:solidFill>
                          <w14:schemeClr w14:val="tx1"/>
                        </w14:solidFill>
                      </w14:textFill>
                    </w:rPr>
                    <w:t>鲜米粉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051" w:type="dxa"/>
                  <w:gridSpan w:val="4"/>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一、感官指标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色泽</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正常、均匀一致</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正常、均匀一致</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白色或浅黄色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组织形态</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具有该品种应有的形态，外形完整，组织结构均匀</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具有该品种应有的形态，外形完整，组织结构均匀</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粉条紧实，形态完整、清晰，</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无霉味，口感无砂质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气味</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正常、无酸味、无霉味及其他异味</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正常、无酸味、无霉味及其他异味</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具有产品应有的气味</w:t>
                  </w:r>
                  <w:r>
                    <w:rPr>
                      <w:rFonts w:hint="default" w:ascii="Times New Roman" w:hAnsi="Times New Roman" w:eastAsia="宋体" w:cs="Times New Roman"/>
                      <w:bCs/>
                      <w:color w:val="000000" w:themeColor="text1"/>
                      <w:sz w:val="21"/>
                      <w:szCs w:val="21"/>
                      <w:u w:val="none"/>
                      <w14:textFill>
                        <w14:solidFill>
                          <w14:schemeClr w14:val="tx1"/>
                        </w14:solidFill>
                      </w14:textFill>
                    </w:rPr>
                    <w:t>，无酸、馊、霉及其他异味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烹调性</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煮熟后口感酸爽、不粘牙、无牙磕</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煮熟后口感酸爽、不粘牙、无牙磕</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煮熟后不浑汤，不粘牙、不碜牙，不夹生，柔软爽口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杂质</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无肉眼可见外来异物</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无肉眼可见外来异物</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无正常视力</w:t>
                  </w:r>
                  <w:r>
                    <w:rPr>
                      <w:rFonts w:hint="default" w:ascii="Times New Roman" w:hAnsi="Times New Roman" w:eastAsia="宋体" w:cs="Times New Roman"/>
                      <w:bCs/>
                      <w:color w:val="000000" w:themeColor="text1"/>
                      <w:sz w:val="21"/>
                      <w:szCs w:val="21"/>
                      <w:u w:val="none"/>
                      <w14:textFill>
                        <w14:solidFill>
                          <w14:schemeClr w14:val="tx1"/>
                        </w14:solidFill>
                      </w14:textFill>
                    </w:rPr>
                    <w:t>可见外来杂质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1" w:type="dxa"/>
                  <w:gridSpan w:val="4"/>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二、理化指标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水分（%）</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50</w:t>
                  </w:r>
                  <w:r>
                    <w:rPr>
                      <w:rFonts w:hint="default" w:ascii="Times New Roman" w:hAnsi="Times New Roman" w:eastAsia="宋体" w:cs="Times New Roman"/>
                      <w:bCs/>
                      <w:color w:val="000000" w:themeColor="text1"/>
                      <w:sz w:val="21"/>
                      <w:szCs w:val="21"/>
                      <w:u w:val="none"/>
                      <w14:textFill>
                        <w14:solidFill>
                          <w14:schemeClr w14:val="tx1"/>
                        </w14:solidFill>
                      </w14:textFill>
                    </w:rPr>
                    <w:t>＜</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水分</w:t>
                  </w:r>
                  <w:r>
                    <w:rPr>
                      <w:rFonts w:hint="default" w:ascii="Times New Roman" w:hAnsi="Times New Roman" w:eastAsia="宋体" w:cs="Times New Roman"/>
                      <w:bCs/>
                      <w:color w:val="000000" w:themeColor="text1"/>
                      <w:sz w:val="21"/>
                      <w:szCs w:val="21"/>
                      <w:u w:val="none"/>
                      <w14:textFill>
                        <w14:solidFill>
                          <w14:schemeClr w14:val="tx1"/>
                        </w14:solidFill>
                      </w14:textFill>
                    </w:rPr>
                    <w:t>≤</w:t>
                  </w: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酸度（ml/10g）≤</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w:t>
                  </w: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2.0</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w:t>
                  </w: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2.0</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w:t>
                  </w: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1" w:type="dxa"/>
                  <w:gridSpan w:val="4"/>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三、污染物限量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铅（以</w:t>
                  </w:r>
                  <w:r>
                    <w:rPr>
                      <w:rFonts w:hint="default" w:ascii="Times New Roman" w:hAnsi="Times New Roman" w:eastAsia="宋体" w:cs="Times New Roman"/>
                      <w:bCs/>
                      <w:color w:val="000000" w:themeColor="text1"/>
                      <w:sz w:val="21"/>
                      <w:szCs w:val="21"/>
                      <w:u w:val="none"/>
                      <w14:textFill>
                        <w14:solidFill>
                          <w14:schemeClr w14:val="tx1"/>
                        </w14:solidFill>
                      </w14:textFill>
                    </w:rPr>
                    <w:t>Pb</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计）</w:t>
                  </w:r>
                  <w:r>
                    <w:rPr>
                      <w:rFonts w:hint="default" w:ascii="Times New Roman" w:hAnsi="Times New Roman" w:eastAsia="宋体" w:cs="Times New Roman"/>
                      <w:bCs/>
                      <w:color w:val="000000" w:themeColor="text1"/>
                      <w:sz w:val="21"/>
                      <w:szCs w:val="21"/>
                      <w:u w:val="none"/>
                      <w14:textFill>
                        <w14:solidFill>
                          <w14:schemeClr w14:val="tx1"/>
                        </w14:solidFill>
                      </w14:textFill>
                    </w:rPr>
                    <w:t>（mg/kg）</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黄曲霉</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毒</w:t>
                  </w:r>
                  <w:r>
                    <w:rPr>
                      <w:rFonts w:hint="default" w:ascii="Times New Roman" w:hAnsi="Times New Roman" w:eastAsia="宋体" w:cs="Times New Roman"/>
                      <w:bCs/>
                      <w:color w:val="000000" w:themeColor="text1"/>
                      <w:sz w:val="21"/>
                      <w:szCs w:val="21"/>
                      <w:u w:val="none"/>
                      <w14:textFill>
                        <w14:solidFill>
                          <w14:schemeClr w14:val="tx1"/>
                        </w14:solidFill>
                      </w14:textFill>
                    </w:rPr>
                    <w:t>素（μ</w:t>
                  </w: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g</w:t>
                  </w:r>
                  <w:r>
                    <w:rPr>
                      <w:rFonts w:hint="default" w:ascii="Times New Roman" w:hAnsi="Times New Roman" w:eastAsia="宋体" w:cs="Times New Roman"/>
                      <w:bCs/>
                      <w:color w:val="000000" w:themeColor="text1"/>
                      <w:sz w:val="21"/>
                      <w:szCs w:val="21"/>
                      <w:u w:val="none"/>
                      <w14:textFill>
                        <w14:solidFill>
                          <w14:schemeClr w14:val="tx1"/>
                        </w14:solidFill>
                      </w14:textFill>
                    </w:rPr>
                    <w:t>/kg）</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1" w:type="dxa"/>
                  <w:gridSpan w:val="4"/>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四</w:t>
                  </w:r>
                  <w:r>
                    <w:rPr>
                      <w:rFonts w:hint="default" w:ascii="Times New Roman" w:hAnsi="Times New Roman" w:eastAsia="宋体" w:cs="Times New Roman"/>
                      <w:bCs/>
                      <w:color w:val="000000" w:themeColor="text1"/>
                      <w:sz w:val="21"/>
                      <w:szCs w:val="21"/>
                      <w:u w:val="none"/>
                      <w14:textFill>
                        <w14:solidFill>
                          <w14:schemeClr w14:val="tx1"/>
                        </w14:solidFill>
                      </w14:textFill>
                    </w:rPr>
                    <w:t>、微生物指标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菌落总数（cfu/g）</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大肠菌群（MPN/100g）</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致病菌</w:t>
                  </w:r>
                </w:p>
              </w:tc>
              <w:tc>
                <w:tcPr>
                  <w:tcW w:w="18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19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c>
                <w:tcPr>
                  <w:tcW w:w="21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themeColor="text1"/>
                      <w:kern w:val="2"/>
                      <w:sz w:val="21"/>
                      <w:szCs w:val="21"/>
                      <w:u w:val="none"/>
                      <w:lang w:val="en-US" w:eastAsia="zh-CN" w:bidi="ar-SA"/>
                      <w14:textFill>
                        <w14:solidFill>
                          <w14:schemeClr w14:val="tx1"/>
                        </w14:solidFill>
                      </w14:textFill>
                    </w:rPr>
                  </w:pPr>
                  <w:r>
                    <w:rPr>
                      <w:rFonts w:hint="eastAsia" w:cs="Times New Roman"/>
                      <w:bCs/>
                      <w:color w:val="000000" w:themeColor="text1"/>
                      <w:sz w:val="21"/>
                      <w:szCs w:val="21"/>
                      <w:u w:val="none"/>
                      <w:lang w:val="en-US" w:eastAsia="zh-CN"/>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产品出厂前应严格按照《食品安全地方标准米粉生产卫生规范》（DBS43/007-2018）及国家《食品生产通用卫生规范》（GB14881-2013）中的相关要求进行抽样检查，产品合格后方能进入市场，严禁不合格产品进入市场。</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4、项目主要原辅材料和生产设备清单</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本项目原辅材料使用情况见下表。</w:t>
            </w:r>
          </w:p>
          <w:p>
            <w:pPr>
              <w:jc w:val="center"/>
              <w:rPr>
                <w:rFonts w:hint="default" w:ascii="Times New Roman" w:hAnsi="Times New Roman" w:eastAsia="宋体" w:cs="Times New Roman"/>
                <w:b/>
                <w:color w:val="000000" w:themeColor="text1"/>
                <w:sz w:val="24"/>
                <w14:textFill>
                  <w14:solidFill>
                    <w14:schemeClr w14:val="tx1"/>
                  </w14:solidFill>
                </w14:textFill>
              </w:rPr>
            </w:pPr>
            <w:bookmarkStart w:id="33" w:name="_Hlk66953575"/>
            <w:r>
              <w:rPr>
                <w:rFonts w:hint="default" w:ascii="Times New Roman" w:hAnsi="Times New Roman" w:eastAsia="宋体" w:cs="Times New Roman"/>
                <w:b/>
                <w:color w:val="000000" w:themeColor="text1"/>
                <w:sz w:val="24"/>
                <w14:textFill>
                  <w14:solidFill>
                    <w14:schemeClr w14:val="tx1"/>
                  </w14:solidFill>
                </w14:textFill>
              </w:rPr>
              <w:t>表2-4   建设项目原辅材料清单</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57"/>
              <w:gridCol w:w="1908"/>
              <w:gridCol w:w="1605"/>
              <w:gridCol w:w="1605"/>
              <w:gridCol w:w="243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162"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项目名称</w:t>
                  </w:r>
                </w:p>
              </w:tc>
              <w:tc>
                <w:tcPr>
                  <w:tcW w:w="978"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数量（单位）</w:t>
                  </w:r>
                </w:p>
              </w:tc>
              <w:tc>
                <w:tcPr>
                  <w:tcW w:w="978"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最大存储量</w:t>
                  </w:r>
                </w:p>
              </w:tc>
              <w:tc>
                <w:tcPr>
                  <w:tcW w:w="1480"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 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162"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大米</w:t>
                  </w:r>
                </w:p>
              </w:tc>
              <w:tc>
                <w:tcPr>
                  <w:tcW w:w="978"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5100</w:t>
                  </w:r>
                  <w:r>
                    <w:rPr>
                      <w:rFonts w:hint="default" w:ascii="Times New Roman" w:hAnsi="Times New Roman" w:eastAsia="宋体" w:cs="Times New Roman"/>
                      <w:color w:val="000000" w:themeColor="text1"/>
                      <w:szCs w:val="21"/>
                      <w14:textFill>
                        <w14:solidFill>
                          <w14:schemeClr w14:val="tx1"/>
                        </w14:solidFill>
                      </w14:textFill>
                    </w:rPr>
                    <w:t>t/a</w:t>
                  </w:r>
                </w:p>
              </w:tc>
              <w:tc>
                <w:tcPr>
                  <w:tcW w:w="978"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500</w:t>
                  </w:r>
                  <w:r>
                    <w:rPr>
                      <w:rFonts w:hint="default" w:ascii="Times New Roman" w:hAnsi="Times New Roman" w:eastAsia="宋体" w:cs="Times New Roman"/>
                      <w:color w:val="000000" w:themeColor="text1"/>
                      <w:szCs w:val="21"/>
                      <w14:textFill>
                        <w14:solidFill>
                          <w14:schemeClr w14:val="tx1"/>
                        </w14:solidFill>
                      </w14:textFill>
                    </w:rPr>
                    <w:t>t</w:t>
                  </w:r>
                </w:p>
              </w:tc>
              <w:tc>
                <w:tcPr>
                  <w:tcW w:w="148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外购，袋装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162"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玉米</w:t>
                  </w:r>
                  <w:r>
                    <w:rPr>
                      <w:rFonts w:hint="default" w:ascii="Times New Roman" w:hAnsi="Times New Roman" w:eastAsia="宋体" w:cs="Times New Roman"/>
                      <w:color w:val="000000" w:themeColor="text1"/>
                      <w:szCs w:val="21"/>
                      <w14:textFill>
                        <w14:solidFill>
                          <w14:schemeClr w14:val="tx1"/>
                        </w14:solidFill>
                      </w14:textFill>
                    </w:rPr>
                    <w:t>淀粉</w:t>
                  </w:r>
                </w:p>
              </w:tc>
              <w:tc>
                <w:tcPr>
                  <w:tcW w:w="978"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2150</w:t>
                  </w:r>
                  <w:r>
                    <w:rPr>
                      <w:rFonts w:hint="default" w:ascii="Times New Roman" w:hAnsi="Times New Roman" w:eastAsia="宋体" w:cs="Times New Roman"/>
                      <w:color w:val="000000" w:themeColor="text1"/>
                      <w:szCs w:val="21"/>
                      <w14:textFill>
                        <w14:solidFill>
                          <w14:schemeClr w14:val="tx1"/>
                        </w14:solidFill>
                      </w14:textFill>
                    </w:rPr>
                    <w:t>t/a</w:t>
                  </w:r>
                </w:p>
              </w:tc>
              <w:tc>
                <w:tcPr>
                  <w:tcW w:w="978"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100</w:t>
                  </w:r>
                  <w:r>
                    <w:rPr>
                      <w:rFonts w:hint="default" w:ascii="Times New Roman" w:hAnsi="Times New Roman" w:eastAsia="宋体" w:cs="Times New Roman"/>
                      <w:color w:val="000000" w:themeColor="text1"/>
                      <w:szCs w:val="21"/>
                      <w14:textFill>
                        <w14:solidFill>
                          <w14:schemeClr w14:val="tx1"/>
                        </w14:solidFill>
                      </w14:textFill>
                    </w:rPr>
                    <w:t>t</w:t>
                  </w:r>
                </w:p>
              </w:tc>
              <w:tc>
                <w:tcPr>
                  <w:tcW w:w="148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外购，袋装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162" w:type="pct"/>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食用植物油</w:t>
                  </w:r>
                </w:p>
              </w:tc>
              <w:tc>
                <w:tcPr>
                  <w:tcW w:w="978" w:type="pct"/>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0.055t/a</w:t>
                  </w:r>
                </w:p>
              </w:tc>
              <w:tc>
                <w:tcPr>
                  <w:tcW w:w="978" w:type="pct"/>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0.03t</w:t>
                  </w:r>
                </w:p>
              </w:tc>
              <w:tc>
                <w:tcPr>
                  <w:tcW w:w="1480"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外购</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桶装</w:t>
                  </w:r>
                  <w:r>
                    <w:rPr>
                      <w:rFonts w:hint="eastAsia" w:cs="Times New Roman"/>
                      <w:color w:val="000000" w:themeColor="text1"/>
                      <w:szCs w:val="21"/>
                      <w:lang w:val="en-US" w:eastAsia="zh-CN"/>
                      <w14:textFill>
                        <w14:solidFill>
                          <w14:schemeClr w14:val="tx1"/>
                        </w14:solidFill>
                      </w14:textFill>
                    </w:rPr>
                    <w:t>，用于切米粉防粘用油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162"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成型生物质颗粒</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540</w:t>
                  </w:r>
                  <w:r>
                    <w:rPr>
                      <w:rFonts w:hint="default" w:ascii="Times New Roman" w:hAnsi="Times New Roman" w:eastAsia="宋体" w:cs="Times New Roman"/>
                      <w:color w:val="000000" w:themeColor="text1"/>
                      <w:szCs w:val="21"/>
                      <w:highlight w:val="none"/>
                      <w14:textFill>
                        <w14:solidFill>
                          <w14:schemeClr w14:val="tx1"/>
                        </w14:solidFill>
                      </w14:textFill>
                    </w:rPr>
                    <w:t>t/a</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t</w:t>
                  </w:r>
                </w:p>
              </w:tc>
              <w:tc>
                <w:tcPr>
                  <w:tcW w:w="1480"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外购，吨袋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162"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新鲜水</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24789.9</w:t>
                  </w:r>
                  <w:r>
                    <w:rPr>
                      <w:rFonts w:hint="default" w:ascii="Times New Roman" w:hAnsi="Times New Roman" w:eastAsia="宋体" w:cs="Times New Roman"/>
                      <w:color w:val="000000" w:themeColor="text1"/>
                      <w:szCs w:val="21"/>
                      <w:highlight w:val="none"/>
                      <w14:textFill>
                        <w14:solidFill>
                          <w14:schemeClr w14:val="tx1"/>
                        </w14:solidFill>
                      </w14:textFill>
                    </w:rPr>
                    <w:t>t/a</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80"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自来水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0" w:type="pct"/>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162"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电</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Cs w:val="21"/>
                      <w:highlight w:val="none"/>
                      <w14:textFill>
                        <w14:solidFill>
                          <w14:schemeClr w14:val="tx1"/>
                        </w14:solidFill>
                      </w14:textFill>
                    </w:rPr>
                    <w:t>万千瓦时/a</w:t>
                  </w:r>
                </w:p>
              </w:tc>
              <w:tc>
                <w:tcPr>
                  <w:tcW w:w="978"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480"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当地供电网</w:t>
                  </w:r>
                </w:p>
              </w:tc>
            </w:t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34" w:name="_Hlk66953620"/>
            <w:r>
              <w:rPr>
                <w:rFonts w:hint="default" w:ascii="Times New Roman" w:hAnsi="Times New Roman" w:eastAsia="宋体" w:cs="Times New Roman"/>
                <w:color w:val="000000" w:themeColor="text1"/>
                <w:sz w:val="24"/>
                <w:szCs w:val="24"/>
                <w14:textFill>
                  <w14:solidFill>
                    <w14:schemeClr w14:val="tx1"/>
                  </w14:solidFill>
                </w14:textFill>
              </w:rPr>
              <w:t>本项目设备清单见下表。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表2-5   建设项目主要设备清单</w:t>
            </w:r>
          </w:p>
          <w:tbl>
            <w:tblPr>
              <w:tblStyle w:val="33"/>
              <w:tblW w:w="4995"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96"/>
              <w:gridCol w:w="1432"/>
              <w:gridCol w:w="1465"/>
              <w:gridCol w:w="1179"/>
              <w:gridCol w:w="1033"/>
              <w:gridCol w:w="1323"/>
              <w:gridCol w:w="126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规格</w:t>
                  </w: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单位</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数量</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材料</w:t>
                  </w: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一、干米粉（红薯粉）生产线清单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蒸箱</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3米X1米</w:t>
                  </w: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套</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304#不锈钢</w:t>
                  </w: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蒸箱机架及爬坡</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20米X1米</w:t>
                  </w: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台套</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304#不锈钢</w:t>
                  </w: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高度配套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粉皮9层烘干机架</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40米X1米X2.2米</w:t>
                  </w: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台套</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304#不锈钢</w:t>
                  </w: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含隔热门</w:t>
                  </w:r>
                </w:p>
              </w:tc>
            </w:tr>
            <w:bookmarkEnd w:id="34"/>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4</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切丝机</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台套</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机架304#不锈钢</w:t>
                  </w: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电机、高度配套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w:t>
                  </w:r>
                </w:p>
              </w:tc>
              <w:tc>
                <w:tcPr>
                  <w:tcW w:w="87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收缩膜机</w:t>
                  </w:r>
                </w:p>
              </w:tc>
              <w:tc>
                <w:tcPr>
                  <w:tcW w:w="89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7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台</w:t>
                  </w:r>
                </w:p>
              </w:tc>
              <w:tc>
                <w:tcPr>
                  <w:tcW w:w="6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w:t>
                  </w:r>
                </w:p>
              </w:tc>
              <w:tc>
                <w:tcPr>
                  <w:tcW w:w="8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7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二、洗米设备清单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名称</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规格</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洗米桶</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φ1</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X1</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泡米桶</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φ1.3</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X3.2</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磨浆机</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300</w:t>
                  </w:r>
                  <w:r>
                    <w:rPr>
                      <w:rStyle w:val="117"/>
                      <w:rFonts w:hint="default" w:ascii="Times New Roman" w:hAnsi="Times New Roman" w:eastAsia="宋体" w:cs="Times New Roman"/>
                      <w:sz w:val="21"/>
                      <w:szCs w:val="21"/>
                      <w:lang w:val="en-US" w:eastAsia="zh-CN" w:bidi="ar"/>
                    </w:rPr>
                    <w:t>型（</w:t>
                  </w:r>
                  <w:r>
                    <w:rPr>
                      <w:rStyle w:val="116"/>
                      <w:rFonts w:hint="default" w:ascii="Times New Roman" w:hAnsi="Times New Roman" w:eastAsia="宋体" w:cs="Times New Roman"/>
                      <w:sz w:val="21"/>
                      <w:szCs w:val="21"/>
                      <w:lang w:val="en-US" w:eastAsia="zh-CN" w:bidi="ar"/>
                    </w:rPr>
                    <w:t>7.5kw</w:t>
                  </w:r>
                  <w:r>
                    <w:rPr>
                      <w:rStyle w:val="117"/>
                      <w:rFonts w:hint="default" w:ascii="Times New Roman" w:hAnsi="Times New Roman" w:eastAsia="宋体" w:cs="Times New Roman"/>
                      <w:sz w:val="21"/>
                      <w:szCs w:val="21"/>
                      <w:lang w:val="en-US" w:eastAsia="zh-CN" w:bidi="ar"/>
                    </w:rPr>
                    <w:t>）</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普通</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接浆桶</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φ1</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X0.5</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调浆桶带搅拌</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φ1</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X1</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调浆桶带搅拌</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φ1.8</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X1.4</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kern w:val="0"/>
                      <w:sz w:val="21"/>
                      <w:szCs w:val="21"/>
                      <w:u w:val="none"/>
                      <w:lang w:val="en-US" w:eastAsia="zh-CN" w:bidi="ar"/>
                    </w:rPr>
                    <w:t>磨粉机</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Style w:val="116"/>
                      <w:rFonts w:hint="default" w:ascii="Times New Roman" w:hAnsi="Times New Roman" w:eastAsia="宋体" w:cs="Times New Roman"/>
                      <w:sz w:val="21"/>
                      <w:szCs w:val="21"/>
                      <w:lang w:val="en-US" w:eastAsia="zh-CN" w:bidi="ar"/>
                    </w:rPr>
                    <w:t>φ0.8</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X1</w:t>
                  </w:r>
                  <w:r>
                    <w:rPr>
                      <w:rStyle w:val="117"/>
                      <w:rFonts w:hint="default" w:ascii="Times New Roman" w:hAnsi="Times New Roman" w:eastAsia="宋体" w:cs="Times New Roman"/>
                      <w:sz w:val="21"/>
                      <w:szCs w:val="21"/>
                      <w:lang w:val="en-US" w:eastAsia="zh-CN" w:bidi="ar"/>
                    </w:rPr>
                    <w:t>米（</w:t>
                  </w:r>
                  <w:r>
                    <w:rPr>
                      <w:rStyle w:val="116"/>
                      <w:rFonts w:hint="default" w:ascii="Times New Roman" w:hAnsi="Times New Roman" w:eastAsia="宋体" w:cs="Times New Roman"/>
                      <w:sz w:val="21"/>
                      <w:szCs w:val="21"/>
                      <w:lang w:val="en-US" w:eastAsia="zh-CN" w:bidi="ar"/>
                    </w:rPr>
                    <w:t>4kw</w:t>
                  </w:r>
                  <w:r>
                    <w:rPr>
                      <w:rStyle w:val="117"/>
                      <w:rFonts w:hint="default" w:ascii="Times New Roman" w:hAnsi="Times New Roman" w:eastAsia="宋体" w:cs="Times New Roman"/>
                      <w:sz w:val="21"/>
                      <w:szCs w:val="21"/>
                      <w:lang w:val="en-US" w:eastAsia="zh-CN" w:bidi="ar"/>
                    </w:rPr>
                    <w:t>）</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304#不锈钢机架</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8</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浆泵</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2.2kw</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国标</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抽米泵</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1.5kw</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国标</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0</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石磨桶</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116"/>
                      <w:rFonts w:hint="default" w:ascii="Times New Roman" w:hAnsi="Times New Roman" w:eastAsia="宋体" w:cs="Times New Roman"/>
                      <w:sz w:val="21"/>
                      <w:szCs w:val="21"/>
                      <w:lang w:val="en-US" w:eastAsia="zh-CN" w:bidi="ar"/>
                    </w:rPr>
                    <w:t>φ0.8</w:t>
                  </w:r>
                  <w:r>
                    <w:rPr>
                      <w:rStyle w:val="117"/>
                      <w:rFonts w:hint="default" w:ascii="Times New Roman" w:hAnsi="Times New Roman" w:eastAsia="宋体" w:cs="Times New Roman"/>
                      <w:sz w:val="21"/>
                      <w:szCs w:val="21"/>
                      <w:lang w:val="en-US" w:eastAsia="zh-CN" w:bidi="ar"/>
                    </w:rPr>
                    <w:t>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304#不锈钢机架</w:t>
                  </w:r>
                </w:p>
              </w:tc>
              <w:tc>
                <w:tcPr>
                  <w:tcW w:w="772" w:type="pct"/>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三、固定冷库房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序号</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名称</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规格</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单位</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数量</w:t>
                  </w:r>
                </w:p>
              </w:tc>
              <w:tc>
                <w:tcPr>
                  <w:tcW w:w="807"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材料</w:t>
                  </w:r>
                </w:p>
              </w:tc>
              <w:tc>
                <w:tcPr>
                  <w:tcW w:w="772" w:type="pct"/>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固定冷库房</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22.5X5米</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台套</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冷库板单面不锈钢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含制冷设备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四、锅炉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名称</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规格</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全自动生物质蒸汽发生器</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LSG2.0-1.0-M</w:t>
                  </w:r>
                  <w:r>
                    <w:rPr>
                      <w:rFonts w:hint="default" w:ascii="Times New Roman" w:hAnsi="Times New Roman" w:eastAsia="宋体" w:cs="Times New Roman"/>
                      <w:i w:val="0"/>
                      <w:iCs w:val="0"/>
                      <w:color w:val="000000"/>
                      <w:kern w:val="0"/>
                      <w:sz w:val="21"/>
                      <w:szCs w:val="21"/>
                      <w:u w:val="none"/>
                      <w:lang w:val="en-US" w:eastAsia="zh-CN" w:bidi="ar"/>
                    </w:rPr>
                    <w:t>（组合型）</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全自动反渗透水处理器</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6吨</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87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304不锈钢水箱</w:t>
                  </w:r>
                </w:p>
              </w:tc>
              <w:tc>
                <w:tcPr>
                  <w:tcW w:w="89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6吨</w:t>
                  </w: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个</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一、鲜榨粉和切粉机两用生产线清单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名称</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规格</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蒸箱</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3米X1米</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套</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切粉刀</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8毫米 </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把</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鲜粉榨</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4米X1.2米X1.5米</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台套</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2台11KW4级电机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874" w:type="pct"/>
                  <w:vAlign w:val="center"/>
                </w:tcPr>
                <w:p>
                  <w:pPr>
                    <w:keepNext w:val="0"/>
                    <w:keepLines w:val="0"/>
                    <w:widowControl/>
                    <w:suppressLineNumbers w:val="0"/>
                    <w:tabs>
                      <w:tab w:val="left" w:pos="575"/>
                    </w:tabs>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自动计量包装机</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套</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自动叠粉机</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71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套</w:t>
                  </w:r>
                </w:p>
              </w:tc>
              <w:tc>
                <w:tcPr>
                  <w:tcW w:w="63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二、洗米设备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874"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名称</w:t>
                  </w:r>
                </w:p>
              </w:tc>
              <w:tc>
                <w:tcPr>
                  <w:tcW w:w="89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规格</w:t>
                  </w:r>
                </w:p>
              </w:tc>
              <w:tc>
                <w:tcPr>
                  <w:tcW w:w="719"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30"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0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洗米桶</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φ1</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X1</w:t>
                  </w:r>
                  <w:r>
                    <w:rPr>
                      <w:rFonts w:hint="eastAsia" w:cs="Times New Roman"/>
                      <w:i w:val="0"/>
                      <w:iCs w:val="0"/>
                      <w:color w:val="000000"/>
                      <w:kern w:val="0"/>
                      <w:sz w:val="21"/>
                      <w:szCs w:val="21"/>
                      <w:u w:val="none"/>
                      <w:lang w:val="en-US" w:eastAsia="zh-CN" w:bidi="ar"/>
                    </w:rPr>
                    <w:t>米</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泡米桶</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φ1.3</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X3.2</w:t>
                  </w:r>
                  <w:r>
                    <w:rPr>
                      <w:rFonts w:hint="eastAsia" w:cs="Times New Roman"/>
                      <w:i w:val="0"/>
                      <w:iCs w:val="0"/>
                      <w:color w:val="000000"/>
                      <w:kern w:val="0"/>
                      <w:sz w:val="21"/>
                      <w:szCs w:val="21"/>
                      <w:u w:val="none"/>
                      <w:lang w:val="en-US" w:eastAsia="zh-CN" w:bidi="ar"/>
                    </w:rPr>
                    <w:t>米</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磨浆机</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300</w:t>
                  </w:r>
                  <w:r>
                    <w:rPr>
                      <w:rFonts w:hint="eastAsia" w:cs="Times New Roman"/>
                      <w:i w:val="0"/>
                      <w:iCs w:val="0"/>
                      <w:color w:val="000000"/>
                      <w:kern w:val="0"/>
                      <w:sz w:val="21"/>
                      <w:szCs w:val="21"/>
                      <w:u w:val="none"/>
                      <w:lang w:val="en-US" w:eastAsia="zh-CN" w:bidi="ar"/>
                    </w:rPr>
                    <w:t>型（</w:t>
                  </w:r>
                  <w:r>
                    <w:rPr>
                      <w:rFonts w:hint="default" w:cs="Times New Roman"/>
                      <w:i w:val="0"/>
                      <w:iCs w:val="0"/>
                      <w:color w:val="000000"/>
                      <w:kern w:val="0"/>
                      <w:sz w:val="21"/>
                      <w:szCs w:val="21"/>
                      <w:u w:val="none"/>
                      <w:lang w:val="en-US" w:eastAsia="zh-CN" w:bidi="ar"/>
                    </w:rPr>
                    <w:t>7.5kw</w:t>
                  </w:r>
                  <w:r>
                    <w:rPr>
                      <w:rFonts w:hint="eastAsia" w:cs="Times New Roman"/>
                      <w:i w:val="0"/>
                      <w:iCs w:val="0"/>
                      <w:color w:val="000000"/>
                      <w:kern w:val="0"/>
                      <w:sz w:val="21"/>
                      <w:szCs w:val="21"/>
                      <w:u w:val="none"/>
                      <w:lang w:val="en-US" w:eastAsia="zh-CN" w:bidi="ar"/>
                    </w:rPr>
                    <w:t>）</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普通</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接浆桶</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φ1</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X0.5</w:t>
                  </w:r>
                  <w:r>
                    <w:rPr>
                      <w:rFonts w:hint="eastAsia" w:cs="Times New Roman"/>
                      <w:i w:val="0"/>
                      <w:iCs w:val="0"/>
                      <w:color w:val="000000"/>
                      <w:kern w:val="0"/>
                      <w:sz w:val="21"/>
                      <w:szCs w:val="21"/>
                      <w:u w:val="none"/>
                      <w:lang w:val="en-US" w:eastAsia="zh-CN" w:bidi="ar"/>
                    </w:rPr>
                    <w:t>米</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2</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调浆桶带搅拌</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φ1</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X1</w:t>
                  </w:r>
                  <w:r>
                    <w:rPr>
                      <w:rFonts w:hint="eastAsia" w:cs="Times New Roman"/>
                      <w:i w:val="0"/>
                      <w:iCs w:val="0"/>
                      <w:color w:val="000000"/>
                      <w:kern w:val="0"/>
                      <w:sz w:val="21"/>
                      <w:szCs w:val="21"/>
                      <w:u w:val="none"/>
                      <w:lang w:val="en-US" w:eastAsia="zh-CN" w:bidi="ar"/>
                    </w:rPr>
                    <w:t>米</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2</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楼梯平台</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配套</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套</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磨粉机</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φ0.8</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X1</w:t>
                  </w:r>
                  <w:r>
                    <w:rPr>
                      <w:rFonts w:hint="eastAsia" w:cs="Times New Roman"/>
                      <w:i w:val="0"/>
                      <w:iCs w:val="0"/>
                      <w:color w:val="000000"/>
                      <w:kern w:val="0"/>
                      <w:sz w:val="21"/>
                      <w:szCs w:val="21"/>
                      <w:u w:val="none"/>
                      <w:lang w:val="en-US" w:eastAsia="zh-CN" w:bidi="ar"/>
                    </w:rPr>
                    <w:t>米（</w:t>
                  </w:r>
                  <w:r>
                    <w:rPr>
                      <w:rFonts w:hint="default" w:cs="Times New Roman"/>
                      <w:i w:val="0"/>
                      <w:iCs w:val="0"/>
                      <w:color w:val="000000"/>
                      <w:kern w:val="0"/>
                      <w:sz w:val="21"/>
                      <w:szCs w:val="21"/>
                      <w:u w:val="none"/>
                      <w:lang w:val="en-US" w:eastAsia="zh-CN" w:bidi="ar"/>
                    </w:rPr>
                    <w:t>4kw</w:t>
                  </w:r>
                  <w:r>
                    <w:rPr>
                      <w:rFonts w:hint="eastAsia" w:cs="Times New Roman"/>
                      <w:i w:val="0"/>
                      <w:iCs w:val="0"/>
                      <w:color w:val="000000"/>
                      <w:kern w:val="0"/>
                      <w:sz w:val="21"/>
                      <w:szCs w:val="21"/>
                      <w:u w:val="none"/>
                      <w:lang w:val="en-US" w:eastAsia="zh-CN" w:bidi="ar"/>
                    </w:rPr>
                    <w:t>）</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304#不锈钢机架</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浆泵</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2.2kw</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3</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国标</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抽米泵</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1.5kw</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台</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国标</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3"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874"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石磨桶</w:t>
                  </w:r>
                </w:p>
              </w:tc>
              <w:tc>
                <w:tcPr>
                  <w:tcW w:w="893"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φ800</w:t>
                  </w:r>
                </w:p>
              </w:tc>
              <w:tc>
                <w:tcPr>
                  <w:tcW w:w="719"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件</w:t>
                  </w:r>
                </w:p>
              </w:tc>
              <w:tc>
                <w:tcPr>
                  <w:tcW w:w="630" w:type="pct"/>
                  <w:vAlign w:val="center"/>
                </w:tcPr>
                <w:p>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807" w:type="pct"/>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304#不锈钢</w:t>
                  </w:r>
                </w:p>
              </w:tc>
              <w:tc>
                <w:tcPr>
                  <w:tcW w:w="77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u w:val="none"/>
                <w14:textFill>
                  <w14:solidFill>
                    <w14:schemeClr w14:val="tx1"/>
                  </w14:solidFill>
                </w14:textFill>
              </w:rPr>
            </w:pPr>
            <w:r>
              <w:rPr>
                <w:rFonts w:hint="default" w:ascii="Times New Roman" w:hAnsi="Times New Roman" w:eastAsia="宋体" w:cs="Times New Roman"/>
                <w:b/>
                <w:color w:val="000000" w:themeColor="text1"/>
                <w:sz w:val="24"/>
                <w:szCs w:val="24"/>
                <w:u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u w:val="none"/>
                <w14:textFill>
                  <w14:solidFill>
                    <w14:schemeClr w14:val="tx1"/>
                  </w14:solidFill>
                </w14:textFill>
              </w:rPr>
              <w:t>生产车间环境要求</w:t>
            </w:r>
          </w:p>
          <w:p>
            <w:pPr>
              <w:spacing w:line="360" w:lineRule="auto"/>
              <w:ind w:firstLine="480"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根据本项目的生产内容，结合《食品工业洁净用房建筑技术规范》，评价要求项目上的生产车间做到生产用房温度应为18～26℃，相对湿度应为30％～70％。生产车间的工艺平面应与工艺要求的洁净用房等级相适应，能最大程度地防止食品、食品接触面和食品包装受到污染。原料、半成品、成品应在各自独立的有完整分隔的生产区内加工制作；不同洁净区的生产人员进出路线应严格分开。</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、劳动定员及工作制度</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5" w:name="_Toc199863601"/>
            <w:bookmarkStart w:id="36" w:name="_Toc200085611"/>
            <w:bookmarkStart w:id="37" w:name="_Toc199863413"/>
            <w:bookmarkStart w:id="38" w:name="_Toc200086351"/>
            <w:bookmarkStart w:id="39" w:name="_Toc199864543"/>
            <w:r>
              <w:rPr>
                <w:rFonts w:hint="default" w:ascii="Times New Roman" w:hAnsi="Times New Roman" w:eastAsia="宋体" w:cs="Times New Roman"/>
                <w:color w:val="000000" w:themeColor="text1"/>
                <w:sz w:val="24"/>
                <w14:textFill>
                  <w14:solidFill>
                    <w14:schemeClr w14:val="tx1"/>
                  </w14:solidFill>
                </w14:textFill>
              </w:rPr>
              <w:t>本项目劳动定员</w:t>
            </w:r>
            <w:r>
              <w:rPr>
                <w:rFonts w:hint="eastAsia" w:cs="Times New Roman"/>
                <w:color w:val="000000" w:themeColor="text1"/>
                <w:sz w:val="24"/>
                <w:lang w:val="en-US" w:eastAsia="zh-CN"/>
                <w14:textFill>
                  <w14:solidFill>
                    <w14:schemeClr w14:val="tx1"/>
                  </w14:solidFill>
                </w14:textFill>
              </w:rPr>
              <w:t>120</w:t>
            </w:r>
            <w:r>
              <w:rPr>
                <w:rFonts w:hint="default" w:ascii="Times New Roman" w:hAnsi="Times New Roman" w:eastAsia="宋体" w:cs="Times New Roman"/>
                <w:color w:val="000000" w:themeColor="text1"/>
                <w:sz w:val="24"/>
                <w14:textFill>
                  <w14:solidFill>
                    <w14:schemeClr w14:val="tx1"/>
                  </w14:solidFill>
                </w14:textFill>
              </w:rPr>
              <w:t>人，年工作日</w:t>
            </w:r>
            <w:r>
              <w:rPr>
                <w:rFonts w:hint="default" w:ascii="Times New Roman" w:hAnsi="Times New Roman" w:eastAsia="宋体"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w:t>
            </w:r>
            <w:r>
              <w:rPr>
                <w:rFonts w:hint="eastAsia" w:cs="Times New Roman"/>
                <w:color w:val="000000" w:themeColor="text1"/>
                <w:sz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14:textFill>
                  <w14:solidFill>
                    <w14:schemeClr w14:val="tx1"/>
                  </w14:solidFill>
                </w14:textFill>
              </w:rPr>
              <w:t>班制，厂内提供食宿。</w:t>
            </w:r>
          </w:p>
          <w:p>
            <w:pPr>
              <w:numPr>
                <w:ilvl w:val="0"/>
                <w:numId w:val="4"/>
              </w:num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公用工程</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）供电：本</w:t>
            </w:r>
            <w:r>
              <w:rPr>
                <w:rFonts w:hint="default" w:ascii="Times New Roman" w:hAnsi="Times New Roman" w:eastAsia="宋体" w:cs="Times New Roman"/>
                <w:bCs/>
                <w:color w:val="000000" w:themeColor="text1"/>
                <w:sz w:val="24"/>
                <w:szCs w:val="24"/>
                <w:u w:val="none"/>
                <w14:textFill>
                  <w14:solidFill>
                    <w14:schemeClr w14:val="tx1"/>
                  </w14:solidFill>
                </w14:textFill>
              </w:rPr>
              <w:t>项目用电主要由乡镇电网供给，项目无备用发电机</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）供热：根据实际生产情况</w:t>
            </w:r>
            <w:r>
              <w:rPr>
                <w:rFonts w:hint="default" w:ascii="Times New Roman" w:hAnsi="Times New Roman" w:eastAsia="宋体" w:cs="Times New Roman"/>
                <w:color w:val="000000" w:themeColor="text1"/>
                <w:sz w:val="24"/>
                <w:lang w:eastAsia="zh-CN"/>
                <w14:textFill>
                  <w14:solidFill>
                    <w14:schemeClr w14:val="tx1"/>
                  </w14:solidFill>
                </w14:textFill>
              </w:rPr>
              <w:t>蒸汽锅炉</w:t>
            </w:r>
            <w:r>
              <w:rPr>
                <w:rFonts w:hint="default" w:ascii="Times New Roman" w:hAnsi="Times New Roman" w:eastAsia="宋体" w:cs="Times New Roman"/>
                <w:color w:val="000000" w:themeColor="text1"/>
                <w:sz w:val="24"/>
                <w14:textFill>
                  <w14:solidFill>
                    <w14:schemeClr w14:val="tx1"/>
                  </w14:solidFill>
                </w14:textFill>
              </w:rPr>
              <w:t>每天运行约</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小时，年运行</w:t>
            </w:r>
            <w:r>
              <w:rPr>
                <w:rFonts w:hint="default" w:ascii="Times New Roman" w:hAnsi="Times New Roman" w:eastAsia="宋体"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w:t>
            </w:r>
          </w:p>
          <w:bookmarkEnd w:id="35"/>
          <w:bookmarkEnd w:id="36"/>
          <w:bookmarkEnd w:id="37"/>
          <w:bookmarkEnd w:id="38"/>
          <w:bookmarkEnd w:id="39"/>
          <w:p>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）供水：本项目用水为自来水，由市政自来水管网统一供给；本项目年用水量为</w:t>
            </w:r>
            <w:r>
              <w:rPr>
                <w:rFonts w:hint="eastAsia" w:cs="Times New Roman"/>
                <w:color w:val="000000" w:themeColor="text1"/>
                <w:sz w:val="24"/>
                <w:lang w:val="en-US" w:eastAsia="zh-CN"/>
                <w14:textFill>
                  <w14:solidFill>
                    <w14:schemeClr w14:val="tx1"/>
                  </w14:solidFill>
                </w14:textFill>
              </w:rPr>
              <w:t>24789.9</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/a，主要包括员工生活用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生产</w:t>
            </w:r>
            <w:r>
              <w:rPr>
                <w:rFonts w:hint="eastAsia" w:cs="Times New Roman"/>
                <w:color w:val="000000" w:themeColor="text1"/>
                <w:sz w:val="24"/>
                <w:lang w:eastAsia="zh-CN"/>
                <w14:textFill>
                  <w14:solidFill>
                    <w14:schemeClr w14:val="tx1"/>
                  </w14:solidFill>
                </w14:textFill>
              </w:rPr>
              <w:t>用水</w:t>
            </w:r>
            <w:r>
              <w:rPr>
                <w:rFonts w:hint="default" w:ascii="Times New Roman" w:hAnsi="Times New Roman" w:eastAsia="宋体" w:cs="Times New Roman"/>
                <w:color w:val="000000" w:themeColor="text1"/>
                <w:sz w:val="24"/>
                <w14:textFill>
                  <w14:solidFill>
                    <w14:schemeClr w14:val="tx1"/>
                  </w14:solidFill>
                </w14:textFill>
              </w:rPr>
              <w:t>和</w:t>
            </w:r>
            <w:r>
              <w:rPr>
                <w:rFonts w:hint="eastAsia" w:cs="Times New Roman"/>
                <w:color w:val="000000" w:themeColor="text1"/>
                <w:sz w:val="24"/>
                <w:lang w:val="en-US" w:eastAsia="zh-CN"/>
                <w14:textFill>
                  <w14:solidFill>
                    <w14:schemeClr w14:val="tx1"/>
                  </w14:solidFill>
                </w14:textFill>
              </w:rPr>
              <w:t>绿化用水</w:t>
            </w:r>
            <w:r>
              <w:rPr>
                <w:rFonts w:hint="default" w:ascii="Times New Roman" w:hAnsi="Times New Roman" w:eastAsia="宋体" w:cs="Times New Roman"/>
                <w:color w:val="000000" w:themeColor="text1"/>
                <w:sz w:val="24"/>
                <w14:textFill>
                  <w14:solidFill>
                    <w14:schemeClr w14:val="tx1"/>
                  </w14:solidFill>
                </w14:textFill>
              </w:rPr>
              <w:t>，由市政给水管网供给。</w:t>
            </w:r>
            <w:r>
              <w:rPr>
                <w:rFonts w:hint="eastAsia" w:cs="Times New Roman"/>
                <w:color w:val="000000" w:themeColor="text1"/>
                <w:sz w:val="24"/>
                <w:lang w:val="en-US" w:eastAsia="zh-CN"/>
                <w14:textFill>
                  <w14:solidFill>
                    <w14:schemeClr w14:val="tx1"/>
                  </w14:solidFill>
                </w14:textFill>
              </w:rPr>
              <w:t>生活用水量为3150m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/a（10.5m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/d）；生产用水量为20919.9m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/a（69.733m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/d）。绿化用水720m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/a（2.4m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本项目用水来自</w:t>
            </w:r>
            <w:r>
              <w:rPr>
                <w:rFonts w:hint="eastAsia" w:cs="Times New Roman"/>
                <w:color w:val="000000" w:themeColor="text1"/>
                <w:sz w:val="24"/>
                <w:lang w:val="en-US" w:eastAsia="zh-CN"/>
                <w14:textFill>
                  <w14:solidFill>
                    <w14:schemeClr w14:val="tx1"/>
                  </w14:solidFill>
                </w14:textFill>
              </w:rPr>
              <w:t>园区</w:t>
            </w:r>
            <w:r>
              <w:rPr>
                <w:rFonts w:hint="default" w:ascii="Times New Roman" w:hAnsi="Times New Roman" w:eastAsia="宋体" w:cs="Times New Roman"/>
                <w:color w:val="000000" w:themeColor="text1"/>
                <w:sz w:val="24"/>
                <w14:textFill>
                  <w14:solidFill>
                    <w14:schemeClr w14:val="tx1"/>
                  </w14:solidFill>
                </w14:textFill>
              </w:rPr>
              <w:t>给水管网，可满足全厂用水要求。本项目生产用水主要为产品加工用水（包括大米清洗浸泡用水</w:t>
            </w:r>
            <w:r>
              <w:rPr>
                <w:rFonts w:hint="eastAsia" w:cs="Times New Roman"/>
                <w:color w:val="000000" w:themeColor="text1"/>
                <w:sz w:val="24"/>
                <w:lang w:val="en-US" w:eastAsia="zh-CN"/>
                <w14:textFill>
                  <w14:solidFill>
                    <w14:schemeClr w14:val="tx1"/>
                  </w14:solidFill>
                </w14:textFill>
              </w:rPr>
              <w:t>12750m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/a（42.5m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/d）、和</w:t>
            </w:r>
            <w:r>
              <w:rPr>
                <w:rFonts w:hint="default" w:ascii="Times New Roman" w:hAnsi="Times New Roman" w:eastAsia="宋体" w:cs="Times New Roman"/>
                <w:color w:val="000000" w:themeColor="text1"/>
                <w:sz w:val="24"/>
                <w14:textFill>
                  <w14:solidFill>
                    <w14:schemeClr w14:val="tx1"/>
                  </w14:solidFill>
                </w14:textFill>
              </w:rPr>
              <w:t>浆用水</w:t>
            </w:r>
            <w:r>
              <w:rPr>
                <w:rFonts w:hint="eastAsia" w:cs="Times New Roman"/>
                <w:color w:val="000000" w:themeColor="text1"/>
                <w:sz w:val="24"/>
                <w:lang w:val="en-US" w:eastAsia="zh-CN"/>
                <w14:textFill>
                  <w14:solidFill>
                    <w14:schemeClr w14:val="tx1"/>
                  </w14:solidFill>
                </w14:textFill>
              </w:rPr>
              <w:t>1450m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/a（4.83m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）、设备清洗用水</w:t>
            </w:r>
            <w:r>
              <w:rPr>
                <w:rFonts w:hint="eastAsia" w:cs="Times New Roman"/>
                <w:color w:val="000000" w:themeColor="text1"/>
                <w:sz w:val="24"/>
                <w:lang w:val="en-US" w:eastAsia="zh-CN"/>
                <w14:textFill>
                  <w14:solidFill>
                    <w14:schemeClr w14:val="tx1"/>
                  </w14:solidFill>
                </w14:textFill>
              </w:rPr>
              <w:t>600m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/a（2m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、地面清洗用水</w:t>
            </w:r>
            <w:r>
              <w:rPr>
                <w:rFonts w:hint="eastAsia" w:cs="Times New Roman"/>
                <w:color w:val="000000" w:themeColor="text1"/>
                <w:sz w:val="24"/>
                <w:lang w:val="en-US" w:eastAsia="zh-CN"/>
                <w14:textFill>
                  <w14:solidFill>
                    <w14:schemeClr w14:val="tx1"/>
                  </w14:solidFill>
                </w14:textFill>
              </w:rPr>
              <w:t>1107m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/a（3.69m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、锅炉用水</w:t>
            </w:r>
            <w:r>
              <w:rPr>
                <w:rFonts w:hint="eastAsia" w:cs="Times New Roman"/>
                <w:color w:val="000000" w:themeColor="text1"/>
                <w:sz w:val="24"/>
                <w:lang w:val="en-US" w:eastAsia="zh-CN"/>
                <w14:textFill>
                  <w14:solidFill>
                    <w14:schemeClr w14:val="tx1"/>
                  </w14:solidFill>
                </w14:textFill>
              </w:rPr>
              <w:t>5013.9m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/a（16.713m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/d）、软水制备清洗用水24m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/a（0.08m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）排水：本项目产生的废水主要为产品加工废水（包括大米清洗浸泡废水</w:t>
            </w:r>
            <w:r>
              <w:rPr>
                <w:rFonts w:hint="eastAsia" w:cs="Times New Roman"/>
                <w:color w:val="000000" w:themeColor="text1"/>
                <w:sz w:val="24"/>
                <w:lang w:val="en-US" w:eastAsia="zh-CN"/>
                <w14:textFill>
                  <w14:solidFill>
                    <w14:schemeClr w14:val="tx1"/>
                  </w14:solidFill>
                </w14:textFill>
              </w:rPr>
              <w:t>7140m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/a（23.8m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、地面冲洗废水</w:t>
            </w:r>
            <w:r>
              <w:rPr>
                <w:rFonts w:hint="eastAsia" w:cs="Times New Roman"/>
                <w:color w:val="000000" w:themeColor="text1"/>
                <w:sz w:val="24"/>
                <w:lang w:val="en-US" w:eastAsia="zh-CN"/>
                <w14:textFill>
                  <w14:solidFill>
                    <w14:schemeClr w14:val="tx1"/>
                  </w14:solidFill>
                </w14:textFill>
              </w:rPr>
              <w:t>996.3m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/a（3.32m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、设备清洗废水</w:t>
            </w:r>
            <w:r>
              <w:rPr>
                <w:rFonts w:hint="eastAsia" w:cs="Times New Roman"/>
                <w:color w:val="000000" w:themeColor="text1"/>
                <w:sz w:val="24"/>
                <w:lang w:val="en-US" w:eastAsia="zh-CN"/>
                <w14:textFill>
                  <w14:solidFill>
                    <w14:schemeClr w14:val="tx1"/>
                  </w14:solidFill>
                </w14:textFill>
              </w:rPr>
              <w:t>540m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/a（1.8m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、锅炉废水（包括锅炉排污水-软化处理废水</w:t>
            </w:r>
            <w:r>
              <w:rPr>
                <w:rFonts w:hint="eastAsia" w:cs="Times New Roman"/>
                <w:color w:val="000000" w:themeColor="text1"/>
                <w:sz w:val="24"/>
                <w:lang w:val="en-US" w:eastAsia="zh-CN"/>
                <w14:textFill>
                  <w14:solidFill>
                    <w14:schemeClr w14:val="tx1"/>
                  </w14:solidFill>
                </w14:textFill>
              </w:rPr>
              <w:t>2581m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/a（8.6m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/d）、蒸汽废水4800m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/a（16m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、软</w:t>
            </w:r>
            <w:r>
              <w:rPr>
                <w:rFonts w:hint="eastAsia" w:cs="Times New Roman"/>
                <w:color w:val="000000" w:themeColor="text1"/>
                <w:sz w:val="24"/>
                <w:lang w:val="en-US" w:eastAsia="zh-CN"/>
                <w14:textFill>
                  <w14:solidFill>
                    <w14:schemeClr w14:val="tx1"/>
                  </w14:solidFill>
                </w14:textFill>
              </w:rPr>
              <w:t>水制备反冲洗废水21.6m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/a（0.072m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）和生活污水</w:t>
            </w:r>
            <w:r>
              <w:rPr>
                <w:rFonts w:hint="eastAsia" w:cs="Times New Roman"/>
                <w:color w:val="000000" w:themeColor="text1"/>
                <w:sz w:val="24"/>
                <w:lang w:val="en-US" w:eastAsia="zh-CN"/>
                <w14:textFill>
                  <w14:solidFill>
                    <w14:schemeClr w14:val="tx1"/>
                  </w14:solidFill>
                </w14:textFill>
              </w:rPr>
              <w:t>2520m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/a（8.4m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a.产品加工废水</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清洗：通过业主多年的生产经验可知，大米清洗1次，用水量约为原料大米用量的1倍，本项目大米原料的用量为</w:t>
            </w:r>
            <w:r>
              <w:rPr>
                <w:rFonts w:hint="eastAsia" w:cs="Times New Roman"/>
                <w:sz w:val="24"/>
                <w:u w:val="none"/>
                <w:lang w:val="en-US" w:eastAsia="zh-CN"/>
              </w:rPr>
              <w:t>5100</w:t>
            </w:r>
            <w:r>
              <w:rPr>
                <w:rFonts w:hint="default" w:ascii="Times New Roman" w:hAnsi="Times New Roman" w:eastAsia="宋体" w:cs="Times New Roman"/>
                <w:sz w:val="24"/>
                <w:u w:val="none"/>
              </w:rPr>
              <w:t>t/a，则大米清洗用水量为</w:t>
            </w:r>
            <w:r>
              <w:rPr>
                <w:rFonts w:hint="eastAsia" w:cs="Times New Roman"/>
                <w:sz w:val="24"/>
                <w:u w:val="none"/>
                <w:lang w:val="en-US" w:eastAsia="zh-CN"/>
              </w:rPr>
              <w:t>5100t</w:t>
            </w:r>
            <w:r>
              <w:rPr>
                <w:rFonts w:hint="default" w:ascii="Times New Roman" w:hAnsi="Times New Roman" w:eastAsia="宋体" w:cs="Times New Roman"/>
                <w:sz w:val="24"/>
                <w:u w:val="none"/>
              </w:rPr>
              <w:t>/a，大米清洗废水产生系数为0.8，则大米清洗废水产生量为</w:t>
            </w:r>
            <w:r>
              <w:rPr>
                <w:rFonts w:hint="eastAsia" w:cs="Times New Roman"/>
                <w:sz w:val="24"/>
                <w:u w:val="none"/>
                <w:lang w:val="en-US" w:eastAsia="zh-CN"/>
              </w:rPr>
              <w:t>4080</w:t>
            </w:r>
            <w:r>
              <w:rPr>
                <w:rFonts w:hint="default" w:ascii="Times New Roman" w:hAnsi="Times New Roman" w:eastAsia="宋体" w:cs="Times New Roman"/>
                <w:sz w:val="24"/>
                <w:u w:val="none"/>
              </w:rPr>
              <w:t>t/a（折为</w:t>
            </w:r>
            <w:r>
              <w:rPr>
                <w:rFonts w:hint="eastAsia" w:cs="Times New Roman"/>
                <w:sz w:val="24"/>
                <w:u w:val="none"/>
                <w:lang w:val="en-US" w:eastAsia="zh-CN"/>
              </w:rPr>
              <w:t>13.6</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浸泡：通过业主多年的生产经验可知，大米浸泡2次，总的用水量约为原料大米用量的1.5倍，本项目大米原料的用量为</w:t>
            </w:r>
            <w:r>
              <w:rPr>
                <w:rFonts w:hint="eastAsia" w:cs="Times New Roman"/>
                <w:sz w:val="24"/>
                <w:u w:val="none"/>
                <w:lang w:val="en-US" w:eastAsia="zh-CN"/>
              </w:rPr>
              <w:t>5100</w:t>
            </w:r>
            <w:r>
              <w:rPr>
                <w:rFonts w:hint="default" w:ascii="Times New Roman" w:hAnsi="Times New Roman" w:eastAsia="宋体" w:cs="Times New Roman"/>
                <w:sz w:val="24"/>
                <w:u w:val="none"/>
              </w:rPr>
              <w:t>t/a，则大米浸泡用水量为</w:t>
            </w:r>
            <w:r>
              <w:rPr>
                <w:rFonts w:hint="eastAsia" w:cs="Times New Roman"/>
                <w:sz w:val="24"/>
                <w:u w:val="none"/>
                <w:lang w:val="en-US" w:eastAsia="zh-CN"/>
              </w:rPr>
              <w:t>7650</w:t>
            </w:r>
            <w:r>
              <w:rPr>
                <w:rFonts w:hint="default" w:ascii="Times New Roman" w:hAnsi="Times New Roman" w:eastAsia="宋体" w:cs="Times New Roman"/>
                <w:sz w:val="24"/>
                <w:u w:val="none"/>
              </w:rPr>
              <w:t>t/a，大米浸泡废水产生系数按照0.4计算，则大米浸泡废水产生量为</w:t>
            </w:r>
            <w:r>
              <w:rPr>
                <w:rFonts w:hint="eastAsia" w:cs="Times New Roman"/>
                <w:sz w:val="24"/>
                <w:u w:val="none"/>
                <w:lang w:val="en-US" w:eastAsia="zh-CN"/>
              </w:rPr>
              <w:t>3060</w:t>
            </w:r>
            <w:r>
              <w:rPr>
                <w:rFonts w:hint="default" w:ascii="Times New Roman" w:hAnsi="Times New Roman" w:eastAsia="宋体" w:cs="Times New Roman"/>
                <w:sz w:val="24"/>
                <w:u w:val="none"/>
              </w:rPr>
              <w:t>t/a（折为</w:t>
            </w:r>
            <w:r>
              <w:rPr>
                <w:rFonts w:hint="eastAsia" w:cs="Times New Roman"/>
                <w:sz w:val="24"/>
                <w:u w:val="none"/>
                <w:lang w:val="en-US" w:eastAsia="zh-CN"/>
              </w:rPr>
              <w:t>10.2</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综上，本项目生产过程中大米清洗和浸泡废水的总产生量为</w:t>
            </w:r>
            <w:r>
              <w:rPr>
                <w:rFonts w:hint="eastAsia" w:cs="Times New Roman"/>
                <w:sz w:val="24"/>
                <w:u w:val="none"/>
                <w:lang w:val="en-US" w:eastAsia="zh-CN"/>
              </w:rPr>
              <w:t>7140</w:t>
            </w:r>
            <w:r>
              <w:rPr>
                <w:rFonts w:hint="default" w:ascii="Times New Roman" w:hAnsi="Times New Roman" w:eastAsia="宋体" w:cs="Times New Roman"/>
                <w:sz w:val="24"/>
                <w:u w:val="none"/>
              </w:rPr>
              <w:t>t/a（折为</w:t>
            </w:r>
            <w:r>
              <w:rPr>
                <w:rFonts w:hint="eastAsia" w:cs="Times New Roman"/>
                <w:sz w:val="24"/>
                <w:u w:val="none"/>
                <w:lang w:val="en-US" w:eastAsia="zh-CN"/>
              </w:rPr>
              <w:t>23.8</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eastAsia" w:ascii="Times New Roman" w:hAnsi="Times New Roman" w:eastAsia="宋体" w:cs="Times New Roman"/>
                <w:sz w:val="24"/>
                <w:u w:val="none"/>
                <w:lang w:val="en-US" w:eastAsia="zh-CN"/>
              </w:rPr>
              <w:t>和浆用水</w:t>
            </w:r>
            <w:r>
              <w:rPr>
                <w:rFonts w:hint="default" w:ascii="Times New Roman" w:hAnsi="Times New Roman" w:eastAsia="宋体" w:cs="Times New Roman"/>
                <w:sz w:val="24"/>
                <w:u w:val="none"/>
              </w:rPr>
              <w:t>：</w:t>
            </w:r>
            <w:r>
              <w:rPr>
                <w:rFonts w:hint="eastAsia" w:ascii="Times New Roman" w:hAnsi="Times New Roman" w:eastAsia="宋体" w:cs="Times New Roman"/>
                <w:sz w:val="24"/>
                <w:u w:val="none"/>
                <w:lang w:val="en-US" w:eastAsia="zh-CN"/>
              </w:rPr>
              <w:t>和浆</w:t>
            </w:r>
            <w:r>
              <w:rPr>
                <w:rFonts w:hint="default" w:ascii="Times New Roman" w:hAnsi="Times New Roman" w:eastAsia="宋体" w:cs="Times New Roman"/>
                <w:sz w:val="24"/>
                <w:u w:val="none"/>
              </w:rPr>
              <w:t>用水量为原料（大米、淀粉总用量为</w:t>
            </w:r>
            <w:r>
              <w:rPr>
                <w:rFonts w:hint="eastAsia" w:cs="Times New Roman"/>
                <w:sz w:val="24"/>
                <w:u w:val="none"/>
                <w:lang w:val="en-US" w:eastAsia="zh-CN"/>
              </w:rPr>
              <w:t>7250</w:t>
            </w:r>
            <w:r>
              <w:rPr>
                <w:rFonts w:hint="default" w:ascii="Times New Roman" w:hAnsi="Times New Roman" w:eastAsia="宋体" w:cs="Times New Roman"/>
                <w:sz w:val="24"/>
                <w:u w:val="none"/>
              </w:rPr>
              <w:t>t/a）用量的20%，则调和过程中添加水量</w:t>
            </w:r>
            <w:r>
              <w:rPr>
                <w:rFonts w:hint="eastAsia" w:cs="Times New Roman"/>
                <w:sz w:val="24"/>
                <w:u w:val="none"/>
                <w:lang w:val="en-US" w:eastAsia="zh-CN"/>
              </w:rPr>
              <w:t>1450</w:t>
            </w:r>
            <w:r>
              <w:rPr>
                <w:rFonts w:hint="default" w:ascii="Times New Roman" w:hAnsi="Times New Roman" w:eastAsia="宋体" w:cs="Times New Roman"/>
                <w:sz w:val="24"/>
                <w:u w:val="none"/>
              </w:rPr>
              <w:t>t/a，调和工序不产生废水，水均进入产品中。</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b.地面冲洗废水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本项目地面冲洗废水产生量按排污系数为0.9核算，则本项目地面冲洗废水产生量约为</w:t>
            </w:r>
            <w:r>
              <w:rPr>
                <w:rFonts w:hint="eastAsia" w:cs="Times New Roman"/>
                <w:color w:val="000000" w:themeColor="text1"/>
                <w:sz w:val="24"/>
                <w:lang w:val="en-US" w:eastAsia="zh-CN"/>
                <w14:textFill>
                  <w14:solidFill>
                    <w14:schemeClr w14:val="tx1"/>
                  </w14:solidFill>
                </w14:textFill>
              </w:rPr>
              <w:t>3.32</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996.3</w:t>
            </w:r>
            <w:r>
              <w:rPr>
                <w:rFonts w:hint="default" w:ascii="Times New Roman" w:hAnsi="Times New Roman" w:eastAsia="宋体" w:cs="Times New Roman"/>
                <w:color w:val="000000" w:themeColor="text1"/>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c.设备清洗废水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本项目设备清洗废水产生量按排污系数为0.9核算，则本项目设备清洗废水产生量约为</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d.锅炉废水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本项目炉房内设置一台2t/h燃烧</w:t>
            </w:r>
            <w:r>
              <w:rPr>
                <w:rFonts w:hint="eastAsia" w:cs="Times New Roman"/>
                <w:color w:val="000000" w:themeColor="text1"/>
                <w:sz w:val="24"/>
                <w:lang w:val="en-US"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锅炉用于米粉烘干供热，年产</w:t>
            </w:r>
            <w:r>
              <w:rPr>
                <w:rFonts w:hint="eastAsia" w:cs="Times New Roman"/>
                <w:color w:val="000000" w:themeColor="text1"/>
                <w:sz w:val="24"/>
                <w:lang w:val="en-US" w:eastAsia="zh-CN"/>
                <w14:textFill>
                  <w14:solidFill>
                    <w14:schemeClr w14:val="tx1"/>
                  </w14:solidFill>
                </w14:textFill>
              </w:rPr>
              <w:t>10000吨</w:t>
            </w:r>
            <w:r>
              <w:rPr>
                <w:rFonts w:hint="default" w:ascii="Times New Roman" w:hAnsi="Times New Roman" w:eastAsia="宋体" w:cs="Times New Roman"/>
                <w:color w:val="000000" w:themeColor="text1"/>
                <w:sz w:val="24"/>
                <w14:textFill>
                  <w14:solidFill>
                    <w14:schemeClr w14:val="tx1"/>
                  </w14:solidFill>
                </w14:textFill>
              </w:rPr>
              <w:t>米粉，锅炉废水（包括锅炉排污水、软化处理废水），参照《排放源统计调查产排污核算方法和系数手册》中“4430工业锅炉行业系数手册”-工业锅炉（热力生产和供应行业）产污系数表-工业废水量产污系数为</w:t>
            </w:r>
            <w:r>
              <w:rPr>
                <w:rFonts w:hint="eastAsia" w:cs="Times New Roman"/>
                <w:color w:val="000000" w:themeColor="text1"/>
                <w:sz w:val="24"/>
                <w:lang w:val="en-US" w:eastAsia="zh-CN"/>
                <w14:textFill>
                  <w14:solidFill>
                    <w14:schemeClr w14:val="tx1"/>
                  </w14:solidFill>
                </w14:textFill>
              </w:rPr>
              <w:t>0.356</w:t>
            </w:r>
            <w:r>
              <w:rPr>
                <w:rFonts w:hint="default" w:ascii="Times New Roman" w:hAnsi="Times New Roman" w:eastAsia="宋体" w:cs="Times New Roman"/>
                <w:color w:val="000000" w:themeColor="text1"/>
                <w:sz w:val="24"/>
                <w14:textFill>
                  <w14:solidFill>
                    <w14:schemeClr w14:val="tx1"/>
                  </w14:solidFill>
                </w14:textFill>
              </w:rPr>
              <w:t>t/</w:t>
            </w:r>
            <w:r>
              <w:rPr>
                <w:rFonts w:hint="eastAsia" w:cs="Times New Roman"/>
                <w:color w:val="000000" w:themeColor="text1"/>
                <w:sz w:val="24"/>
                <w:lang w:val="en-US" w:eastAsia="zh-CN"/>
                <w14:textFill>
                  <w14:solidFill>
                    <w14:schemeClr w14:val="tx1"/>
                  </w14:solidFill>
                </w14:textFill>
              </w:rPr>
              <w:t>吨</w:t>
            </w:r>
            <w:r>
              <w:rPr>
                <w:rFonts w:hint="default" w:ascii="Times New Roman" w:hAnsi="Times New Roman" w:eastAsia="宋体" w:cs="Times New Roman"/>
                <w:color w:val="000000" w:themeColor="text1"/>
                <w:sz w:val="24"/>
                <w14:textFill>
                  <w14:solidFill>
                    <w14:schemeClr w14:val="tx1"/>
                  </w14:solidFill>
                </w14:textFill>
              </w:rPr>
              <w:t>-原料（锅炉排污水-软化处理废水），本项目</w:t>
            </w:r>
            <w:r>
              <w:rPr>
                <w:rFonts w:hint="eastAsia" w:cs="Times New Roman"/>
                <w:color w:val="000000" w:themeColor="text1"/>
                <w:sz w:val="24"/>
                <w:lang w:val="en-US" w:eastAsia="zh-CN"/>
                <w14:textFill>
                  <w14:solidFill>
                    <w14:schemeClr w14:val="tx1"/>
                  </w14:solidFill>
                </w14:textFill>
              </w:rPr>
              <w:t>生物质颗粒</w:t>
            </w:r>
            <w:r>
              <w:rPr>
                <w:rFonts w:hint="default" w:ascii="Times New Roman" w:hAnsi="Times New Roman" w:eastAsia="宋体" w:cs="Times New Roman"/>
                <w:color w:val="000000" w:themeColor="text1"/>
                <w:sz w:val="24"/>
                <w14:textFill>
                  <w14:solidFill>
                    <w14:schemeClr w14:val="tx1"/>
                  </w14:solidFill>
                </w14:textFill>
              </w:rPr>
              <w:t>用量为</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吨，则</w:t>
            </w:r>
            <w:r>
              <w:rPr>
                <w:rFonts w:hint="eastAsia" w:cs="Times New Roman"/>
                <w:color w:val="000000" w:themeColor="text1"/>
                <w:sz w:val="24"/>
                <w:lang w:val="en-US" w:eastAsia="zh-CN"/>
                <w14:textFill>
                  <w14:solidFill>
                    <w14:schemeClr w14:val="tx1"/>
                  </w14:solidFill>
                </w14:textFill>
              </w:rPr>
              <w:t>锅炉排污水和软化废水</w:t>
            </w:r>
            <w:r>
              <w:rPr>
                <w:rFonts w:hint="default" w:ascii="Times New Roman" w:hAnsi="Times New Roman" w:eastAsia="宋体" w:cs="Times New Roman"/>
                <w:color w:val="000000" w:themeColor="text1"/>
                <w:sz w:val="24"/>
                <w14:textFill>
                  <w14:solidFill>
                    <w14:schemeClr w14:val="tx1"/>
                  </w14:solidFill>
                </w14:textFill>
              </w:rPr>
              <w:t>产生量约为</w:t>
            </w:r>
            <w:r>
              <w:rPr>
                <w:rFonts w:hint="eastAsia" w:cs="Times New Roman"/>
                <w:color w:val="000000" w:themeColor="text1"/>
                <w:sz w:val="24"/>
                <w:lang w:val="en-US" w:eastAsia="zh-CN"/>
                <w14:textFill>
                  <w14:solidFill>
                    <w14:schemeClr w14:val="tx1"/>
                  </w14:solidFill>
                </w14:textFill>
              </w:rPr>
              <w:t>0.356</w:t>
            </w:r>
            <w:r>
              <w:rPr>
                <w:rFonts w:hint="default" w:ascii="Times New Roman" w:hAnsi="Times New Roman" w:eastAsia="宋体" w:cs="Times New Roman"/>
                <w:color w:val="000000" w:themeColor="text1"/>
                <w:sz w:val="24"/>
                <w14:textFill>
                  <w14:solidFill>
                    <w14:schemeClr w14:val="tx1"/>
                  </w14:solidFill>
                </w14:textFill>
              </w:rPr>
              <w:t>t/t产品×</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t原料/a=</w:t>
            </w:r>
            <w:r>
              <w:rPr>
                <w:rFonts w:hint="eastAsia" w:cs="Times New Roman"/>
                <w:color w:val="000000" w:themeColor="text1"/>
                <w:sz w:val="24"/>
                <w:lang w:val="en-US" w:eastAsia="zh-CN"/>
                <w14:textFill>
                  <w14:solidFill>
                    <w14:schemeClr w14:val="tx1"/>
                  </w14:solidFill>
                </w14:textFill>
              </w:rPr>
              <w:t>192.24</w:t>
            </w:r>
            <w:r>
              <w:rPr>
                <w:rFonts w:hint="default" w:ascii="Times New Roman" w:hAnsi="Times New Roman" w:eastAsia="宋体" w:cs="Times New Roman"/>
                <w:color w:val="000000" w:themeColor="text1"/>
                <w:sz w:val="24"/>
                <w14:textFill>
                  <w14:solidFill>
                    <w14:schemeClr w14:val="tx1"/>
                  </w14:solidFill>
                </w14:textFill>
              </w:rPr>
              <w:t>t/a（约</w:t>
            </w:r>
            <w:r>
              <w:rPr>
                <w:rFonts w:hint="eastAsia" w:cs="Times New Roman"/>
                <w:color w:val="000000" w:themeColor="text1"/>
                <w:sz w:val="24"/>
                <w:lang w:val="en-US" w:eastAsia="zh-CN"/>
                <w14:textFill>
                  <w14:solidFill>
                    <w14:schemeClr w14:val="tx1"/>
                  </w14:solidFill>
                </w14:textFill>
              </w:rPr>
              <w:t>0.641</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/d，按年生产</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天核算）。一台2t/h燃烧</w:t>
            </w:r>
            <w:r>
              <w:rPr>
                <w:rFonts w:hint="eastAsia" w:cs="Times New Roman"/>
                <w:color w:val="000000" w:themeColor="text1"/>
                <w:sz w:val="24"/>
                <w:lang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锅炉每小时可以产生出2吨蒸汽，每产生2t蒸汽需要消耗2t的水，使用的燃料为</w:t>
            </w:r>
            <w:r>
              <w:rPr>
                <w:rFonts w:hint="eastAsia" w:cs="Times New Roman"/>
                <w:color w:val="000000" w:themeColor="text1"/>
                <w:sz w:val="24"/>
                <w:lang w:val="en-US"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燃烧，则锅炉消耗量为2t/h×8h×</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d=4</w:t>
            </w:r>
            <w:r>
              <w:rPr>
                <w:rFonts w:hint="eastAsia" w:cs="Times New Roman"/>
                <w:color w:val="000000" w:themeColor="text1"/>
                <w:sz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14:textFill>
                  <w14:solidFill>
                    <w14:schemeClr w14:val="tx1"/>
                  </w14:solidFill>
                </w14:textFill>
              </w:rPr>
              <w:t>t/a（约16m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/d，按年生产</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天核算）。</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e.生活污水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本项目生活污水产生量按排污系数0.</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核算，则本项目生活污水产生量为</w:t>
            </w:r>
            <w:r>
              <w:rPr>
                <w:rFonts w:hint="eastAsia" w:cs="Times New Roman"/>
                <w:color w:val="000000" w:themeColor="text1"/>
                <w:sz w:val="24"/>
                <w:lang w:val="en-US" w:eastAsia="zh-CN"/>
                <w14:textFill>
                  <w14:solidFill>
                    <w14:schemeClr w14:val="tx1"/>
                  </w14:solidFill>
                </w14:textFill>
              </w:rPr>
              <w:t>8.4</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2520</w:t>
            </w:r>
            <w:r>
              <w:rPr>
                <w:rFonts w:hint="default" w:ascii="Times New Roman" w:hAnsi="Times New Roman" w:eastAsia="宋体" w:cs="Times New Roman"/>
                <w:color w:val="000000" w:themeColor="text1"/>
                <w:sz w:val="24"/>
                <w14:textFill>
                  <w14:solidFill>
                    <w14:schemeClr w14:val="tx1"/>
                  </w14:solidFill>
                </w14:textFill>
              </w:rPr>
              <w:t>t/a）。</w:t>
            </w:r>
          </w:p>
          <w:p>
            <w:pPr>
              <w:spacing w:line="360" w:lineRule="auto"/>
              <w:ind w:firstLine="480" w:firstLineChars="200"/>
            </w:pPr>
            <w:r>
              <w:rPr>
                <w:rFonts w:hint="default" w:ascii="Times New Roman" w:hAnsi="Times New Roman" w:eastAsia="宋体" w:cs="Times New Roman"/>
                <w:color w:val="000000" w:themeColor="text1"/>
                <w:sz w:val="24"/>
                <w14:textFill>
                  <w14:solidFill>
                    <w14:schemeClr w14:val="tx1"/>
                  </w14:solidFill>
                </w14:textFill>
              </w:rPr>
              <w:t>综上，本项目废水总产生量为</w:t>
            </w:r>
            <w:r>
              <w:rPr>
                <w:rFonts w:hint="eastAsia" w:cs="Times New Roman"/>
                <w:color w:val="000000" w:themeColor="text1"/>
                <w:sz w:val="24"/>
                <w:lang w:val="en-US" w:eastAsia="zh-CN"/>
                <w14:textFill>
                  <w14:solidFill>
                    <w14:schemeClr w14:val="tx1"/>
                  </w14:solidFill>
                </w14:textFill>
              </w:rPr>
              <w:t>16308.3m</w:t>
            </w:r>
            <w:r>
              <w:rPr>
                <w:rFonts w:hint="eastAsia"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/a（约</w:t>
            </w:r>
            <w:r>
              <w:rPr>
                <w:rFonts w:hint="eastAsia" w:cs="Times New Roman"/>
                <w:color w:val="000000" w:themeColor="text1"/>
                <w:sz w:val="24"/>
                <w:lang w:val="en-US" w:eastAsia="zh-CN"/>
                <w14:textFill>
                  <w14:solidFill>
                    <w14:schemeClr w14:val="tx1"/>
                  </w14:solidFill>
                </w14:textFill>
              </w:rPr>
              <w:t>54.361</w:t>
            </w:r>
            <w:r>
              <w:rPr>
                <w:rFonts w:hint="default" w:ascii="Times New Roman" w:hAnsi="Times New Roman" w:eastAsia="宋体" w:cs="Times New Roman"/>
                <w:color w:val="000000" w:themeColor="text1"/>
                <w:sz w:val="24"/>
                <w14:textFill>
                  <w14:solidFill>
                    <w14:schemeClr w14:val="tx1"/>
                  </w14:solidFill>
                </w14:textFill>
              </w:rPr>
              <w:t>t/d），其中生活污水产生量为</w:t>
            </w:r>
            <w:r>
              <w:rPr>
                <w:rFonts w:hint="eastAsia" w:cs="Times New Roman"/>
                <w:color w:val="000000" w:themeColor="text1"/>
                <w:sz w:val="24"/>
                <w:lang w:val="en-US" w:eastAsia="zh-CN"/>
                <w14:textFill>
                  <w14:solidFill>
                    <w14:schemeClr w14:val="tx1"/>
                  </w14:solidFill>
                </w14:textFill>
              </w:rPr>
              <w:t>2520</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8.4</w:t>
            </w:r>
            <w:r>
              <w:rPr>
                <w:rFonts w:hint="default" w:ascii="Times New Roman" w:hAnsi="Times New Roman" w:eastAsia="宋体" w:cs="Times New Roman"/>
                <w:color w:val="000000" w:themeColor="text1"/>
                <w:sz w:val="24"/>
                <w14:textFill>
                  <w14:solidFill>
                    <w14:schemeClr w14:val="tx1"/>
                  </w14:solidFill>
                </w14:textFill>
              </w:rPr>
              <w:t>t/d)，生产废水产生量为</w:t>
            </w:r>
            <w:r>
              <w:rPr>
                <w:rFonts w:hint="eastAsia" w:cs="Times New Roman"/>
                <w:color w:val="000000" w:themeColor="text1"/>
                <w:sz w:val="24"/>
                <w:lang w:val="en-US" w:eastAsia="zh-CN"/>
                <w14:textFill>
                  <w14:solidFill>
                    <w14:schemeClr w14:val="tx1"/>
                  </w14:solidFill>
                </w14:textFill>
              </w:rPr>
              <w:t>13788.3</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45.961</w:t>
            </w:r>
            <w:r>
              <w:rPr>
                <w:rFonts w:hint="default" w:ascii="Times New Roman" w:hAnsi="Times New Roman" w:eastAsia="宋体" w:cs="Times New Roman"/>
                <w:color w:val="000000" w:themeColor="text1"/>
                <w:sz w:val="24"/>
                <w14:textFill>
                  <w14:solidFill>
                    <w14:schemeClr w14:val="tx1"/>
                  </w14:solidFill>
                </w14:textFill>
              </w:rPr>
              <w:t>t/d）。项目厂区内采用雨污分流制，雨水经雨水</w:t>
            </w:r>
            <w:r>
              <w:rPr>
                <w:rFonts w:hint="eastAsia" w:cs="Times New Roman"/>
                <w:color w:val="000000" w:themeColor="text1"/>
                <w:sz w:val="24"/>
                <w:lang w:val="en-US" w:eastAsia="zh-CN"/>
                <w14:textFill>
                  <w14:solidFill>
                    <w14:schemeClr w14:val="tx1"/>
                  </w14:solidFill>
                </w14:textFill>
              </w:rPr>
              <w:t>沟</w:t>
            </w:r>
            <w:r>
              <w:rPr>
                <w:rFonts w:hint="default" w:ascii="Times New Roman" w:hAnsi="Times New Roman" w:eastAsia="宋体" w:cs="Times New Roman"/>
                <w:color w:val="000000" w:themeColor="text1"/>
                <w:sz w:val="24"/>
                <w14:textFill>
                  <w14:solidFill>
                    <w14:schemeClr w14:val="tx1"/>
                  </w14:solidFill>
                </w14:textFill>
              </w:rPr>
              <w:t>收集后</w:t>
            </w:r>
            <w:r>
              <w:rPr>
                <w:rFonts w:hint="eastAsia" w:cs="Times New Roman"/>
                <w:color w:val="000000" w:themeColor="text1"/>
                <w:sz w:val="24"/>
                <w:lang w:val="en-US" w:eastAsia="zh-CN"/>
                <w14:textFill>
                  <w14:solidFill>
                    <w14:schemeClr w14:val="tx1"/>
                  </w14:solidFill>
                </w14:textFill>
              </w:rPr>
              <w:t>进入沉淀池，沉淀后</w:t>
            </w:r>
            <w:r>
              <w:rPr>
                <w:rFonts w:hint="default" w:ascii="Times New Roman" w:hAnsi="Times New Roman" w:eastAsia="宋体" w:cs="Times New Roman"/>
                <w:color w:val="000000" w:themeColor="text1"/>
                <w:sz w:val="24"/>
                <w14:textFill>
                  <w14:solidFill>
                    <w14:schemeClr w14:val="tx1"/>
                  </w14:solidFill>
                </w14:textFill>
              </w:rPr>
              <w:t>排入</w:t>
            </w:r>
            <w:r>
              <w:rPr>
                <w:rFonts w:hint="eastAsia" w:cs="Times New Roman"/>
                <w:color w:val="000000" w:themeColor="text1"/>
                <w:sz w:val="24"/>
                <w:lang w:val="en-US" w:eastAsia="zh-CN"/>
                <w14:textFill>
                  <w14:solidFill>
                    <w14:schemeClr w14:val="tx1"/>
                  </w14:solidFill>
                </w14:textFill>
              </w:rPr>
              <w:t>雨水市政管网</w:t>
            </w:r>
            <w:r>
              <w:rPr>
                <w:rFonts w:hint="default" w:ascii="Times New Roman" w:hAnsi="Times New Roman" w:eastAsia="宋体" w:cs="Times New Roman"/>
                <w:color w:val="000000" w:themeColor="text1"/>
                <w:sz w:val="24"/>
                <w14:textFill>
                  <w14:solidFill>
                    <w14:schemeClr w14:val="tx1"/>
                  </w14:solidFill>
                </w14:textFill>
              </w:rPr>
              <w:t>。产品加工废水（包括大米清洗浸泡废水、水浆脱水废水）、地面冲洗废水、设备清洗废水、锅炉废水（包括锅炉排污水、软化处理废水）统一经隔渣沉淀过滤预处理，员工生活污水经化粪池处理后，</w:t>
            </w:r>
            <w:r>
              <w:rPr>
                <w:rFonts w:hint="eastAsia" w:cs="Times New Roman"/>
                <w:color w:val="000000" w:themeColor="text1"/>
                <w:sz w:val="24"/>
                <w:lang w:val="en-US" w:eastAsia="zh-CN"/>
                <w14:textFill>
                  <w14:solidFill>
                    <w14:schemeClr w14:val="tx1"/>
                  </w14:solidFill>
                </w14:textFill>
              </w:rPr>
              <w:t>和生产废水一起通过厂区管网进入厂区污水处理厂（</w:t>
            </w:r>
            <w:r>
              <w:rPr>
                <w:rFonts w:hint="default" w:ascii="Times New Roman" w:hAnsi="Times New Roman" w:eastAsia="宋体" w:cs="Times New Roman"/>
                <w:color w:val="000000" w:themeColor="text1"/>
                <w:sz w:val="24"/>
                <w14:textFill>
                  <w14:solidFill>
                    <w14:schemeClr w14:val="tx1"/>
                  </w14:solidFill>
                </w14:textFill>
              </w:rPr>
              <w:t>AO工艺处理（厌氧好氧工艺法）+沉淀池</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处理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达到</w:t>
            </w:r>
            <w:r>
              <w:rPr>
                <w:rFonts w:hint="default" w:ascii="Times New Roman" w:hAnsi="Times New Roman" w:eastAsia="宋体" w:cs="Times New Roman"/>
                <w:color w:val="000000" w:themeColor="text1"/>
                <w:sz w:val="24"/>
                <w14:textFill>
                  <w14:solidFill>
                    <w14:schemeClr w14:val="tx1"/>
                  </w14:solidFill>
                </w14:textFill>
              </w:rPr>
              <w:t>《污水综合排放标准》（GB8978-1996）表4中一级标准</w:t>
            </w:r>
            <w:r>
              <w:rPr>
                <w:rFonts w:hint="eastAsia" w:ascii="Times New Roman" w:hAnsi="Times New Roman" w:eastAsia="宋体" w:cs="Times New Roman"/>
                <w:color w:val="000000" w:themeColor="text1"/>
                <w:sz w:val="24"/>
                <w:lang w:val="en-US" w:eastAsia="zh-CN"/>
                <w14:textFill>
                  <w14:solidFill>
                    <w14:schemeClr w14:val="tx1"/>
                  </w14:solidFill>
                </w14:textFill>
              </w:rPr>
              <w:t>标后</w:t>
            </w:r>
            <w:r>
              <w:rPr>
                <w:rFonts w:hint="eastAsia" w:cs="Times New Roman"/>
                <w:color w:val="000000" w:themeColor="text1"/>
                <w:sz w:val="24"/>
                <w:lang w:val="en-US" w:eastAsia="zh-CN"/>
                <w14:textFill>
                  <w14:solidFill>
                    <w14:schemeClr w14:val="tx1"/>
                  </w14:solidFill>
                </w14:textFill>
              </w:rPr>
              <w:t>排放</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jc w:val="center"/>
              <w:rPr>
                <w:rFonts w:hint="eastAsia" w:ascii="Times New Roman" w:hAnsi="Times New Roman" w:eastAsia="宋体" w:cs="Times New Roman"/>
                <w:b/>
                <w:color w:val="000000" w:themeColor="text1"/>
                <w:sz w:val="24"/>
                <w:lang w:eastAsia="zh-CN"/>
                <w14:textFill>
                  <w14:solidFill>
                    <w14:schemeClr w14:val="tx1"/>
                  </w14:solidFill>
                </w14:textFill>
              </w:rPr>
            </w:pPr>
            <w:r>
              <w:rPr>
                <w:sz w:val="24"/>
              </w:rPr>
              <mc:AlternateContent>
                <mc:Choice Requires="wps">
                  <w:drawing>
                    <wp:anchor distT="0" distB="0" distL="114300" distR="114300" simplePos="0" relativeHeight="251671552" behindDoc="0" locked="0" layoutInCell="1" allowOverlap="1">
                      <wp:simplePos x="0" y="0"/>
                      <wp:positionH relativeFrom="column">
                        <wp:posOffset>4105275</wp:posOffset>
                      </wp:positionH>
                      <wp:positionV relativeFrom="paragraph">
                        <wp:posOffset>1485900</wp:posOffset>
                      </wp:positionV>
                      <wp:extent cx="438150" cy="219710"/>
                      <wp:effectExtent l="0" t="0" r="0" b="8890"/>
                      <wp:wrapNone/>
                      <wp:docPr id="38" name="文本框 38"/>
                      <wp:cNvGraphicFramePr/>
                      <a:graphic xmlns:a="http://schemas.openxmlformats.org/drawingml/2006/main">
                        <a:graphicData uri="http://schemas.microsoft.com/office/word/2010/wordprocessingShape">
                          <wps:wsp>
                            <wps:cNvSpPr txBox="1"/>
                            <wps:spPr>
                              <a:xfrm>
                                <a:off x="5518785" y="5952490"/>
                                <a:ext cx="438150" cy="219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3"/>
                                      <w:szCs w:val="13"/>
                                      <w:lang w:val="en-US" w:eastAsia="zh-CN"/>
                                    </w:rPr>
                                  </w:pPr>
                                  <w:r>
                                    <w:rPr>
                                      <w:rFonts w:hint="eastAsia"/>
                                      <w:sz w:val="13"/>
                                      <w:szCs w:val="13"/>
                                      <w:lang w:val="en-US" w:eastAsia="zh-CN"/>
                                    </w:rPr>
                                    <w:t>54.361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25pt;margin-top:117pt;height:17.3pt;width:34.5pt;z-index:251671552;mso-width-relative:page;mso-height-relative:page;" fillcolor="#FFFFFF [3201]" filled="t" stroked="f" coordsize="21600,21600" o:gfxdata="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obvxjV&#10;AAAACwEAAA8AAAAAAAAAAQAgAAAAIgAAAGRycy9kb3ducmV2LnhtbFBLAQIUABQAAAAIAIdO4kAP&#10;rYELXAIAAJwEAAAOAAAAAAAAAAEAIAAAACQBAABkcnMvZTJvRG9jLnhtbFBLBQYAAAAABgAGAFkB&#10;AADyBQAAAAA=&#10;">
                      <v:fill on="t" focussize="0,0"/>
                      <v:stroke on="f" weight="0.5pt"/>
                      <v:imagedata o:title=""/>
                      <o:lock v:ext="edit" aspectratio="f"/>
                      <v:textbox>
                        <w:txbxContent>
                          <w:p>
                            <w:pPr>
                              <w:rPr>
                                <w:rFonts w:hint="eastAsia" w:eastAsia="宋体"/>
                                <w:sz w:val="13"/>
                                <w:szCs w:val="13"/>
                                <w:lang w:val="en-US" w:eastAsia="zh-CN"/>
                              </w:rPr>
                            </w:pPr>
                            <w:r>
                              <w:rPr>
                                <w:rFonts w:hint="eastAsia"/>
                                <w:sz w:val="13"/>
                                <w:szCs w:val="13"/>
                                <w:lang w:val="en-US" w:eastAsia="zh-CN"/>
                              </w:rPr>
                              <w:t>54.361</w:t>
                            </w:r>
                          </w:p>
                        </w:txbxContent>
                      </v:textbox>
                    </v:shape>
                  </w:pict>
                </mc:Fallback>
              </mc:AlternateContent>
            </w:r>
            <w:r>
              <w:rPr>
                <w:rFonts w:hint="eastAsia" w:ascii="Times New Roman" w:hAnsi="Times New Roman" w:eastAsia="宋体" w:cs="Times New Roman"/>
                <w:b/>
                <w:color w:val="000000" w:themeColor="text1"/>
                <w:sz w:val="24"/>
                <w:lang w:eastAsia="zh-CN"/>
                <w14:textFill>
                  <w14:solidFill>
                    <w14:schemeClr w14:val="tx1"/>
                  </w14:solidFill>
                </w14:textFill>
              </w:rPr>
              <w:drawing>
                <wp:inline distT="0" distB="0" distL="114300" distR="114300">
                  <wp:extent cx="5221605" cy="5003800"/>
                  <wp:effectExtent l="0" t="0" r="5715" b="1016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8"/>
                          <a:stretch>
                            <a:fillRect/>
                          </a:stretch>
                        </pic:blipFill>
                        <pic:spPr>
                          <a:xfrm>
                            <a:off x="0" y="0"/>
                            <a:ext cx="5221605" cy="5003800"/>
                          </a:xfrm>
                          <a:prstGeom prst="rect">
                            <a:avLst/>
                          </a:prstGeom>
                        </pic:spPr>
                      </pic:pic>
                    </a:graphicData>
                  </a:graphic>
                </wp:inline>
              </w:drawing>
            </w:r>
          </w:p>
          <w:p>
            <w:pPr>
              <w:spacing w:line="360" w:lineRule="auto"/>
              <w:jc w:val="center"/>
              <w:rPr>
                <w:rFonts w:hint="default"/>
              </w:rPr>
            </w:pPr>
            <w:r>
              <w:rPr>
                <w:rFonts w:hint="default" w:ascii="Times New Roman" w:hAnsi="Times New Roman" w:eastAsia="宋体" w:cs="Times New Roman"/>
                <w:b/>
                <w:color w:val="000000" w:themeColor="text1"/>
                <w:sz w:val="24"/>
                <w14:textFill>
                  <w14:solidFill>
                    <w14:schemeClr w14:val="tx1"/>
                  </w14:solidFill>
                </w14:textFill>
              </w:rPr>
              <w:t>图2-</w:t>
            </w: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 xml:space="preserve">  项目水平衡图  （单位：</w:t>
            </w:r>
            <w:r>
              <w:rPr>
                <w:rFonts w:hint="default" w:ascii="Times New Roman" w:hAnsi="Times New Roman" w:eastAsia="宋体" w:cs="Times New Roman"/>
                <w:b/>
                <w:color w:val="000000" w:themeColor="text1"/>
                <w:sz w:val="24"/>
                <w:lang w:val="en-US" w:eastAsia="zh-CN"/>
                <w14:textFill>
                  <w14:solidFill>
                    <w14:schemeClr w14:val="tx1"/>
                  </w14:solidFill>
                </w14:textFill>
              </w:rPr>
              <w:t>m</w:t>
            </w:r>
            <w:r>
              <w:rPr>
                <w:rFonts w:hint="default" w:ascii="Times New Roman" w:hAnsi="Times New Roman" w:eastAsia="宋体" w:cs="Times New Roman"/>
                <w:b/>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w:t>
            </w:r>
            <w:r>
              <w:rPr>
                <w:rFonts w:hint="eastAsia" w:cs="Times New Roman"/>
                <w:b/>
                <w:color w:val="000000" w:themeColor="text1"/>
                <w:sz w:val="24"/>
                <w:lang w:val="en-US" w:eastAsia="zh-CN"/>
                <w14:textFill>
                  <w14:solidFill>
                    <w14:schemeClr w14:val="tx1"/>
                  </w14:solidFill>
                </w14:textFill>
              </w:rPr>
              <w:t>d</w:t>
            </w:r>
            <w:r>
              <w:rPr>
                <w:rFonts w:hint="default" w:ascii="Times New Roman" w:hAnsi="Times New Roman" w:eastAsia="宋体" w:cs="Times New Roman"/>
                <w:b/>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（3）供电：本</w:t>
            </w:r>
            <w:r>
              <w:rPr>
                <w:rFonts w:hint="default" w:ascii="Times New Roman" w:hAnsi="Times New Roman" w:eastAsia="宋体" w:cs="Times New Roman"/>
                <w:bCs/>
                <w:color w:val="000000" w:themeColor="text1"/>
                <w:sz w:val="24"/>
                <w:szCs w:val="24"/>
                <w:u w:val="none"/>
                <w14:textFill>
                  <w14:solidFill>
                    <w14:schemeClr w14:val="tx1"/>
                  </w14:solidFill>
                </w14:textFill>
              </w:rPr>
              <w:t>项目用电主要由乡镇电网供给，项目无备用发电机</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（4）供热：根据实际生产情况</w:t>
            </w:r>
            <w:r>
              <w:rPr>
                <w:rFonts w:hint="default" w:ascii="Times New Roman" w:hAnsi="Times New Roman" w:eastAsia="宋体" w:cs="Times New Roman"/>
                <w:color w:val="000000" w:themeColor="text1"/>
                <w:sz w:val="24"/>
                <w:lang w:eastAsia="zh-CN"/>
                <w14:textFill>
                  <w14:solidFill>
                    <w14:schemeClr w14:val="tx1"/>
                  </w14:solidFill>
                </w14:textFill>
              </w:rPr>
              <w:t>蒸汽锅炉</w:t>
            </w:r>
            <w:r>
              <w:rPr>
                <w:rFonts w:hint="default" w:ascii="Times New Roman" w:hAnsi="Times New Roman" w:eastAsia="宋体" w:cs="Times New Roman"/>
                <w:color w:val="000000" w:themeColor="text1"/>
                <w:sz w:val="24"/>
                <w14:textFill>
                  <w14:solidFill>
                    <w14:schemeClr w14:val="tx1"/>
                  </w14:solidFill>
                </w14:textFill>
              </w:rPr>
              <w:t>每天运行约</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小时，年运行</w:t>
            </w:r>
            <w:r>
              <w:rPr>
                <w:rFonts w:hint="default" w:ascii="Times New Roman" w:hAnsi="Times New Roman" w:eastAsia="宋体"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8、平面布置合理性分析</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厂区总平面布置原则：建设项目必须符合生产行业要求，必须满足生产工艺、安全生产要求，符合消防规范。生产区与办公区分离，物流与人流分离，供电、供水线路简捷，土地利用及投资合理，建筑物平面布局美观、大方，突出与环境协调。本项目是在满足生产工艺流程的前提下，考虑运输、安全、卫生等要求，结合项目用地的自然地形条件，按各种设施不同功能进行分区和组合，力求平面布置紧凑合理，节省用地，有利生产，方便管理。</w:t>
            </w:r>
          </w:p>
          <w:p>
            <w:pPr>
              <w:spacing w:line="360" w:lineRule="auto"/>
              <w:ind w:firstLine="470" w:firstLineChars="196"/>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项目在厂房</w:t>
            </w:r>
            <w:r>
              <w:rPr>
                <w:rFonts w:hint="default" w:ascii="Times New Roman" w:hAnsi="Times New Roman" w:eastAsia="宋体" w:cs="Times New Roman"/>
                <w:color w:val="000000" w:themeColor="text1"/>
                <w:sz w:val="24"/>
                <w:lang w:val="en-US" w:eastAsia="zh-CN"/>
                <w14:textFill>
                  <w14:solidFill>
                    <w14:schemeClr w14:val="tx1"/>
                  </w14:solidFill>
                </w14:textFill>
              </w:rPr>
              <w:t>南面</w:t>
            </w:r>
            <w:r>
              <w:rPr>
                <w:rFonts w:hint="default" w:ascii="Times New Roman" w:hAnsi="Times New Roman" w:eastAsia="宋体" w:cs="Times New Roman"/>
                <w:color w:val="000000" w:themeColor="text1"/>
                <w:sz w:val="24"/>
                <w14:textFill>
                  <w14:solidFill>
                    <w14:schemeClr w14:val="tx1"/>
                  </w14:solidFill>
                </w14:textFill>
              </w:rPr>
              <w:t>设置主要出入口，通过道路连接如意路，交通较便利。厂内主要</w:t>
            </w:r>
            <w:r>
              <w:rPr>
                <w:rFonts w:hint="eastAsia" w:cs="Times New Roman"/>
                <w:color w:val="000000" w:themeColor="text1"/>
                <w:sz w:val="24"/>
                <w:lang w:eastAsia="zh-CN"/>
                <w14:textFill>
                  <w14:solidFill>
                    <w14:schemeClr w14:val="tx1"/>
                  </w14:solidFill>
                </w14:textFill>
              </w:rPr>
              <w:t>有</w:t>
            </w:r>
            <w:r>
              <w:rPr>
                <w:rFonts w:hint="default" w:ascii="Times New Roman" w:hAnsi="Times New Roman" w:eastAsia="宋体" w:cs="Times New Roman"/>
                <w:color w:val="000000" w:themeColor="text1"/>
                <w:sz w:val="24"/>
                <w14:textFill>
                  <w14:solidFill>
                    <w14:schemeClr w14:val="tx1"/>
                  </w14:solidFill>
                </w14:textFill>
              </w:rPr>
              <w:t>1栋生产厂房</w:t>
            </w:r>
            <w:r>
              <w:rPr>
                <w:rFonts w:hint="default" w:ascii="Times New Roman" w:hAnsi="Times New Roman" w:eastAsia="宋体" w:cs="Times New Roman"/>
                <w:color w:val="000000" w:themeColor="text1"/>
                <w:sz w:val="24"/>
                <w:lang w:val="en-US" w:eastAsia="zh-CN"/>
                <w14:textFill>
                  <w14:solidFill>
                    <w14:schemeClr w14:val="tx1"/>
                  </w14:solidFill>
                </w14:textFill>
              </w:rPr>
              <w:t>和2栋辅助用房</w:t>
            </w:r>
            <w:r>
              <w:rPr>
                <w:rFonts w:hint="default" w:ascii="Times New Roman" w:hAnsi="Times New Roman" w:eastAsia="宋体" w:cs="Times New Roman"/>
                <w:color w:val="000000" w:themeColor="text1"/>
                <w:sz w:val="24"/>
                <w14:textFill>
                  <w14:solidFill>
                    <w14:schemeClr w14:val="tx1"/>
                  </w14:solidFill>
                </w14:textFill>
              </w:rPr>
              <w:t>，在</w:t>
            </w:r>
            <w:r>
              <w:rPr>
                <w:rFonts w:hint="default" w:ascii="Times New Roman" w:hAnsi="Times New Roman" w:eastAsia="宋体" w:cs="Times New Roman"/>
                <w:color w:val="000000" w:themeColor="text1"/>
                <w:sz w:val="24"/>
                <w:lang w:val="en-US" w:eastAsia="zh-CN"/>
                <w14:textFill>
                  <w14:solidFill>
                    <w14:schemeClr w14:val="tx1"/>
                  </w14:solidFill>
                </w14:textFill>
              </w:rPr>
              <w:t>生产</w:t>
            </w:r>
            <w:r>
              <w:rPr>
                <w:rFonts w:hint="default" w:ascii="Times New Roman" w:hAnsi="Times New Roman" w:eastAsia="宋体" w:cs="Times New Roman"/>
                <w:color w:val="000000" w:themeColor="text1"/>
                <w:sz w:val="24"/>
                <w14:textFill>
                  <w14:solidFill>
                    <w14:schemeClr w14:val="tx1"/>
                  </w14:solidFill>
                </w14:textFill>
              </w:rPr>
              <w:t>厂房内建设生产车间</w:t>
            </w:r>
            <w:r>
              <w:rPr>
                <w:rFonts w:hint="default" w:ascii="Times New Roman" w:hAnsi="Times New Roman" w:eastAsia="宋体" w:cs="Times New Roman"/>
                <w:color w:val="000000" w:themeColor="text1"/>
                <w:sz w:val="24"/>
                <w:lang w:val="en-US" w:eastAsia="zh-CN"/>
                <w14:textFill>
                  <w14:solidFill>
                    <w14:schemeClr w14:val="tx1"/>
                  </w14:solidFill>
                </w14:textFill>
              </w:rPr>
              <w:t>和产品</w:t>
            </w:r>
            <w:r>
              <w:rPr>
                <w:rFonts w:hint="default" w:ascii="Times New Roman" w:hAnsi="Times New Roman" w:eastAsia="宋体" w:cs="Times New Roman"/>
                <w:color w:val="000000" w:themeColor="text1"/>
                <w:sz w:val="24"/>
                <w14:textFill>
                  <w14:solidFill>
                    <w14:schemeClr w14:val="tx1"/>
                  </w14:solidFill>
                </w14:textFill>
              </w:rPr>
              <w:t>仓库等，</w:t>
            </w:r>
            <w:r>
              <w:rPr>
                <w:rFonts w:hint="default" w:ascii="Times New Roman" w:hAnsi="Times New Roman" w:eastAsia="宋体" w:cs="Times New Roman"/>
                <w:color w:val="000000" w:themeColor="text1"/>
                <w:sz w:val="24"/>
                <w:lang w:val="en-US" w:eastAsia="zh-CN"/>
                <w14:textFill>
                  <w14:solidFill>
                    <w14:schemeClr w14:val="tx1"/>
                  </w14:solidFill>
                </w14:textFill>
              </w:rPr>
              <w:t>辅助用房设置原料仓库、化验室和办公室等</w:t>
            </w:r>
            <w:r>
              <w:rPr>
                <w:rFonts w:hint="default" w:ascii="Times New Roman" w:hAnsi="Times New Roman" w:eastAsia="宋体" w:cs="Times New Roman"/>
                <w:color w:val="000000" w:themeColor="text1"/>
                <w:sz w:val="24"/>
                <w14:textFill>
                  <w14:solidFill>
                    <w14:schemeClr w14:val="tx1"/>
                  </w14:solidFill>
                </w14:textFill>
              </w:rPr>
              <w:t>，设置有货物通道，货物进出较为方便。场区内布局</w:t>
            </w:r>
            <w:r>
              <w:rPr>
                <w:rFonts w:hint="default" w:ascii="Times New Roman" w:hAnsi="Times New Roman" w:eastAsia="宋体" w:cs="Times New Roman"/>
                <w:color w:val="000000" w:themeColor="text1"/>
                <w:sz w:val="24"/>
                <w:lang w:val="en-US" w:eastAsia="zh-CN"/>
                <w14:textFill>
                  <w14:solidFill>
                    <w14:schemeClr w14:val="tx1"/>
                  </w14:solidFill>
                </w14:textFill>
              </w:rPr>
              <w:t>较为</w:t>
            </w:r>
            <w:r>
              <w:rPr>
                <w:rFonts w:hint="default" w:ascii="Times New Roman" w:hAnsi="Times New Roman" w:eastAsia="宋体" w:cs="Times New Roman"/>
                <w:color w:val="000000" w:themeColor="text1"/>
                <w:sz w:val="24"/>
                <w14:textFill>
                  <w14:solidFill>
                    <w14:schemeClr w14:val="tx1"/>
                  </w14:solidFill>
                </w14:textFill>
              </w:rPr>
              <w:t>合理、物流顺畅，卫生条件和交通、安全、消防基本满足企业需要及行业要求。项目厂区平面布置详见附图</w:t>
            </w:r>
            <w:r>
              <w:rPr>
                <w:rFonts w:hint="eastAsia" w:cs="Times New Roman"/>
                <w:color w:val="000000" w:themeColor="text1"/>
                <w:sz w:val="24"/>
                <w:lang w:val="en-US" w:eastAsia="zh-CN"/>
                <w14:textFill>
                  <w14:solidFill>
                    <w14:schemeClr w14:val="tx1"/>
                  </w14:solidFill>
                </w14:textFill>
              </w:rPr>
              <w:t>3。</w:t>
            </w:r>
          </w:p>
          <w:p>
            <w:pPr>
              <w:spacing w:line="360" w:lineRule="auto"/>
              <w:ind w:firstLine="472" w:firstLineChars="196"/>
              <w:jc w:val="left"/>
              <w:rPr>
                <w:rFonts w:hint="default" w:ascii="Times New Roman" w:hAnsi="Times New Roman" w:eastAsia="宋体" w:cs="Times New Roman"/>
                <w:b/>
                <w:color w:val="000000" w:themeColor="text1"/>
                <w:sz w:val="24"/>
                <w14:textFill>
                  <w14:solidFill>
                    <w14:schemeClr w14:val="tx1"/>
                  </w14:solidFill>
                </w14:textFill>
              </w:rPr>
            </w:pPr>
          </w:p>
          <w:p>
            <w:pPr>
              <w:spacing w:line="360" w:lineRule="auto"/>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55" w:type="dxa"/>
            <w:vAlign w:val="center"/>
          </w:tcPr>
          <w:p>
            <w:pPr>
              <w:pStyle w:val="28"/>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工艺流程和产排污环节</w:t>
            </w:r>
          </w:p>
        </w:tc>
        <w:tc>
          <w:tcPr>
            <w:tcW w:w="8441" w:type="dxa"/>
          </w:tcPr>
          <w:p>
            <w:pPr>
              <w:spacing w:line="360" w:lineRule="auto"/>
              <w:ind w:firstLine="510" w:firstLineChars="200"/>
              <w:rPr>
                <w:sz w:val="24"/>
              </w:rPr>
            </w:pPr>
            <w:r>
              <w:rPr>
                <w:rFonts w:hint="default" w:ascii="Times New Roman" w:hAnsi="Times New Roman" w:eastAsia="宋体" w:cs="Times New Roman"/>
                <w:b/>
                <w:bCs/>
                <w:color w:val="000000" w:themeColor="text1"/>
                <w:spacing w:val="7"/>
                <w:sz w:val="24"/>
                <w:szCs w:val="24"/>
                <w14:textFill>
                  <w14:solidFill>
                    <w14:schemeClr w14:val="tx1"/>
                  </w14:solidFill>
                </w14:textFill>
              </w:rPr>
              <w:t>1 、</w:t>
            </w:r>
            <w:r>
              <w:rPr>
                <w:sz w:val="24"/>
              </w:rPr>
              <w:t>施工期流程简述</w:t>
            </w:r>
          </w:p>
          <w:p>
            <w:pPr>
              <w:pStyle w:val="87"/>
              <w:spacing w:line="360" w:lineRule="auto"/>
              <w:ind w:firstLine="480"/>
              <w:rPr>
                <w:sz w:val="24"/>
              </w:rPr>
            </w:pPr>
            <w:r>
              <w:rPr>
                <w:sz w:val="24"/>
              </w:rPr>
              <w:t>本项目为新建项目，总建筑面积约为</w:t>
            </w:r>
            <w:r>
              <w:rPr>
                <w:rFonts w:hint="eastAsia"/>
                <w:sz w:val="24"/>
                <w:lang w:val="en-US" w:eastAsia="zh-CN"/>
              </w:rPr>
              <w:t>5816.9</w:t>
            </w:r>
            <w:r>
              <w:rPr>
                <w:sz w:val="24"/>
              </w:rPr>
              <w:t>m</w:t>
            </w:r>
            <w:r>
              <w:rPr>
                <w:sz w:val="24"/>
                <w:vertAlign w:val="superscript"/>
              </w:rPr>
              <w:t>2</w:t>
            </w:r>
            <w:r>
              <w:rPr>
                <w:sz w:val="24"/>
              </w:rPr>
              <w:t>。施工期施工过程包括地基开挖、建筑主体工程、安装工程及装修工程等，施工过程及产污环节见图</w:t>
            </w:r>
            <w:r>
              <w:rPr>
                <w:rFonts w:hint="eastAsia"/>
                <w:sz w:val="24"/>
              </w:rPr>
              <w:t>1</w:t>
            </w:r>
            <w:r>
              <w:rPr>
                <w:sz w:val="24"/>
              </w:rPr>
              <w:t>-</w:t>
            </w:r>
            <w:r>
              <w:rPr>
                <w:rFonts w:hint="eastAsia"/>
                <w:sz w:val="24"/>
              </w:rPr>
              <w:t>1</w:t>
            </w:r>
            <w:r>
              <w:rPr>
                <w:sz w:val="24"/>
              </w:rPr>
              <w:t>。</w:t>
            </w:r>
          </w:p>
          <w:p>
            <w:pPr>
              <w:pStyle w:val="87"/>
              <w:spacing w:before="120" w:beforeLines="50" w:line="360" w:lineRule="auto"/>
              <w:ind w:firstLine="0" w:firstLineChars="0"/>
              <w:rPr>
                <w:sz w:val="24"/>
              </w:rPr>
            </w:pPr>
            <w:r>
              <w:rPr>
                <w:sz w:val="21"/>
              </w:rPr>
              <mc:AlternateContent>
                <mc:Choice Requires="wps">
                  <w:drawing>
                    <wp:anchor distT="0" distB="0" distL="114300" distR="114300" simplePos="0" relativeHeight="251669504" behindDoc="0" locked="0" layoutInCell="1" allowOverlap="1">
                      <wp:simplePos x="0" y="0"/>
                      <wp:positionH relativeFrom="column">
                        <wp:posOffset>112395</wp:posOffset>
                      </wp:positionH>
                      <wp:positionV relativeFrom="paragraph">
                        <wp:posOffset>3547745</wp:posOffset>
                      </wp:positionV>
                      <wp:extent cx="981075" cy="466725"/>
                      <wp:effectExtent l="0" t="0" r="9525" b="9525"/>
                      <wp:wrapNone/>
                      <wp:docPr id="1" name="矩形 1"/>
                      <wp:cNvGraphicFramePr/>
                      <a:graphic xmlns:a="http://schemas.openxmlformats.org/drawingml/2006/main">
                        <a:graphicData uri="http://schemas.microsoft.com/office/word/2010/wordprocessingShape">
                          <wps:wsp>
                            <wps:cNvSpPr/>
                            <wps:spPr>
                              <a:xfrm>
                                <a:off x="1477010" y="4536440"/>
                                <a:ext cx="981075" cy="4667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5pt;margin-top:279.35pt;height:36.75pt;width:77.25pt;z-index:251669504;v-text-anchor:middle;mso-width-relative:page;mso-height-relative:page;" fillcolor="#FFFFFF [3212]" filled="t" stroked="f" coordsize="21600,21600" o:gfxdata="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Fip9tQAAAAKAQAADwAAAAAAAAABACAAAAAiAAAAZHJzL2Rvd25yZXYueG1sUEsBAhQA&#10;FAAAAAgAh07iQCB7XDpoAgAAvwQAAA4AAAAAAAAAAQAgAAAAIwEAAGRycy9lMm9Eb2MueG1sUEsF&#10;BgAAAAAGAAYAWQEAAP0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1778000</wp:posOffset>
                      </wp:positionH>
                      <wp:positionV relativeFrom="paragraph">
                        <wp:posOffset>158750</wp:posOffset>
                      </wp:positionV>
                      <wp:extent cx="1031875" cy="277495"/>
                      <wp:effectExtent l="0" t="0" r="15875" b="8255"/>
                      <wp:wrapNone/>
                      <wp:docPr id="8" name="矩形 8"/>
                      <wp:cNvGraphicFramePr/>
                      <a:graphic xmlns:a="http://schemas.openxmlformats.org/drawingml/2006/main">
                        <a:graphicData uri="http://schemas.microsoft.com/office/word/2010/wordprocessingShape">
                          <wps:wsp>
                            <wps:cNvSpPr/>
                            <wps:spPr>
                              <a:xfrm>
                                <a:off x="0" y="0"/>
                                <a:ext cx="1031875" cy="277495"/>
                              </a:xfrm>
                              <a:prstGeom prst="rect">
                                <a:avLst/>
                              </a:prstGeom>
                              <a:solidFill>
                                <a:schemeClr val="bg1"/>
                              </a:solid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pt;margin-top:12.5pt;height:21.85pt;width:81.25pt;z-index:251663360;v-text-anchor:middle;mso-width-relative:page;mso-height-relative:page;" fillcolor="#FFFFFF [3212]" filled="t" stroked="f" coordsize="21600,21600" o:gfxdata="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vXS9sAAAAJAQAADwAAAAAAAAABACAAAAAiAAAAZHJzL2Rvd25yZXYueG1sUEsB&#10;AhQAFAAAAAgAh07iQJxZul5kAgAAvgQAAA4AAAAAAAAAAQAgAAAAKgEAAGRycy9lMm9Eb2MueG1s&#10;UEsFBgAAAAAGAAYAWQEAAAAGAAAAAA==&#10;">
                      <v:fill on="t" focussize="0,0"/>
                      <v:stroke on="f" weight="0.25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p>
                        </w:txbxContent>
                      </v:textbox>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1339850</wp:posOffset>
                      </wp:positionH>
                      <wp:positionV relativeFrom="paragraph">
                        <wp:posOffset>443865</wp:posOffset>
                      </wp:positionV>
                      <wp:extent cx="1031875" cy="277495"/>
                      <wp:effectExtent l="4445" t="5080" r="11430" b="22225"/>
                      <wp:wrapNone/>
                      <wp:docPr id="7" name="矩形 7"/>
                      <wp:cNvGraphicFramePr/>
                      <a:graphic xmlns:a="http://schemas.openxmlformats.org/drawingml/2006/main">
                        <a:graphicData uri="http://schemas.microsoft.com/office/word/2010/wordprocessingShape">
                          <wps:wsp>
                            <wps:cNvSpPr/>
                            <wps:spPr>
                              <a:xfrm>
                                <a:off x="0" y="0"/>
                                <a:ext cx="1031875" cy="277495"/>
                              </a:xfrm>
                              <a:prstGeom prst="rect">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洒水降尘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5pt;margin-top:34.95pt;height:21.85pt;width:81.25pt;z-index:251662336;v-text-anchor:middle;mso-width-relative:page;mso-height-relative:page;" fillcolor="#FFFFFF [3212]" filled="t" stroked="t" coordsize="21600,21600" o:gfxdata="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YLpzu2wAAAAoBAAAPAAAAAAAAAAEAIAAAACIAAABkcnMvZG93bnJldi54&#10;bWxQSwECFAAUAAAACACHTuJAI93XDWkCAADnBAAADgAAAAAAAAABACAAAAAqAQAAZHJzL2Uyb0Rv&#10;Yy54bWxQSwUGAAAAAAYABgBZAQAABQYAAAAA&#10;">
                      <v:fill on="t" focussize="0,0"/>
                      <v:stroke weight="0.25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洒水降尘</w:t>
                            </w:r>
                          </w:p>
                        </w:txbxContent>
                      </v:textbox>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2433955</wp:posOffset>
                      </wp:positionH>
                      <wp:positionV relativeFrom="paragraph">
                        <wp:posOffset>450215</wp:posOffset>
                      </wp:positionV>
                      <wp:extent cx="1031875" cy="277495"/>
                      <wp:effectExtent l="4445" t="5080" r="11430" b="22225"/>
                      <wp:wrapNone/>
                      <wp:docPr id="6" name="矩形 6"/>
                      <wp:cNvGraphicFramePr/>
                      <a:graphic xmlns:a="http://schemas.openxmlformats.org/drawingml/2006/main">
                        <a:graphicData uri="http://schemas.microsoft.com/office/word/2010/wordprocessingShape">
                          <wps:wsp>
                            <wps:cNvSpPr/>
                            <wps:spPr>
                              <a:xfrm>
                                <a:off x="2806700" y="5269865"/>
                                <a:ext cx="1031875" cy="277495"/>
                              </a:xfrm>
                              <a:prstGeom prst="rect">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肥田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65pt;margin-top:35.45pt;height:21.85pt;width:81.25pt;z-index:251661312;v-text-anchor:middle;mso-width-relative:page;mso-height-relative:page;" fillcolor="#FFFFFF [3212]" filled="t" stroked="t" coordsize="21600,21600" o:gfxdata="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AbX+vaAAAACgEAAA8AAAAAAAAAAQAgAAAAIgAA&#10;AGRycy9kb3ducmV2LnhtbFBLAQIUABQAAAAIAIdO4kC4GDz9eAIAAPMEAAAOAAAAAAAAAAEAIAAA&#10;ACkBAABkcnMvZTJvRG9jLnhtbFBLBQYAAAAABgAGAFkBAAATBgAAAAA=&#10;">
                      <v:fill on="t" focussize="0,0"/>
                      <v:stroke weight="0.25pt" color="#000000 [3213]" joinstyle="round"/>
                      <v:imagedata o:title=""/>
                      <o:lock v:ext="edit" aspectratio="f"/>
                      <v:textbo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肥田</w:t>
                            </w:r>
                          </w:p>
                        </w:txbxContent>
                      </v:textbox>
                    </v:rect>
                  </w:pict>
                </mc:Fallback>
              </mc:AlternateContent>
            </w:r>
            <w:r>
              <w:drawing>
                <wp:inline distT="0" distB="0" distL="114300" distR="114300">
                  <wp:extent cx="5116195" cy="4040505"/>
                  <wp:effectExtent l="0" t="0" r="8255" b="171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9"/>
                          <a:stretch>
                            <a:fillRect/>
                          </a:stretch>
                        </pic:blipFill>
                        <pic:spPr>
                          <a:xfrm>
                            <a:off x="0" y="0"/>
                            <a:ext cx="5116195" cy="4040505"/>
                          </a:xfrm>
                          <a:prstGeom prst="rect">
                            <a:avLst/>
                          </a:prstGeom>
                          <a:noFill/>
                          <a:ln>
                            <a:noFill/>
                          </a:ln>
                        </pic:spPr>
                      </pic:pic>
                    </a:graphicData>
                  </a:graphic>
                </wp:inline>
              </w:drawing>
            </w:r>
          </w:p>
          <w:p>
            <w:pPr>
              <w:adjustRightInd w:val="0"/>
              <w:snapToGrid w:val="0"/>
              <w:spacing w:before="120" w:beforeLines="50" w:line="360" w:lineRule="auto"/>
              <w:jc w:val="center"/>
              <w:rPr>
                <w:rFonts w:hint="eastAsia"/>
                <w:sz w:val="24"/>
              </w:rPr>
            </w:pPr>
            <w:r>
              <w:rPr>
                <w:rFonts w:hint="eastAsia"/>
                <w:sz w:val="24"/>
              </w:rPr>
              <w:t>图2-2项目施工期工艺流程及产污图</w:t>
            </w:r>
          </w:p>
          <w:p>
            <w:pPr>
              <w:pStyle w:val="87"/>
              <w:spacing w:line="360" w:lineRule="auto"/>
              <w:ind w:firstLine="480"/>
              <w:rPr>
                <w:sz w:val="24"/>
              </w:rPr>
            </w:pPr>
            <w:r>
              <w:rPr>
                <w:sz w:val="24"/>
              </w:rPr>
              <w:t>（2）施工期主要污染工序：</w:t>
            </w:r>
          </w:p>
          <w:p>
            <w:pPr>
              <w:pStyle w:val="87"/>
              <w:spacing w:line="360" w:lineRule="auto"/>
              <w:ind w:firstLine="480"/>
              <w:rPr>
                <w:sz w:val="24"/>
              </w:rPr>
            </w:pPr>
            <w:r>
              <w:rPr>
                <w:sz w:val="24"/>
              </w:rPr>
              <w:t>废气：运输扬尘、施工场地扬尘</w:t>
            </w:r>
          </w:p>
          <w:p>
            <w:pPr>
              <w:pStyle w:val="87"/>
              <w:spacing w:line="360" w:lineRule="auto"/>
              <w:ind w:firstLine="480"/>
              <w:rPr>
                <w:sz w:val="24"/>
              </w:rPr>
            </w:pPr>
            <w:r>
              <w:rPr>
                <w:sz w:val="24"/>
              </w:rPr>
              <w:t>废水：施工废水、施工人员生活污水及初期雨水。</w:t>
            </w:r>
          </w:p>
          <w:p>
            <w:pPr>
              <w:pStyle w:val="87"/>
              <w:spacing w:line="360" w:lineRule="auto"/>
              <w:ind w:firstLine="480"/>
              <w:rPr>
                <w:sz w:val="24"/>
              </w:rPr>
            </w:pPr>
            <w:r>
              <w:rPr>
                <w:sz w:val="24"/>
              </w:rPr>
              <w:t>噪声：场地开挖、构筑物砌筑等使用施工机械的固定声源噪声以及施工运输车辆的流动噪声声源。</w:t>
            </w:r>
          </w:p>
          <w:p>
            <w:pPr>
              <w:pStyle w:val="87"/>
              <w:spacing w:line="360" w:lineRule="auto"/>
              <w:ind w:firstLine="480"/>
              <w:rPr>
                <w:sz w:val="24"/>
              </w:rPr>
            </w:pPr>
            <w:r>
              <w:rPr>
                <w:sz w:val="24"/>
              </w:rPr>
              <w:t>固体废物：废铁丝和各种废钢筋、废钢配件、金属管线废料等建筑垃圾及少量的施工人员生活垃圾。</w:t>
            </w:r>
          </w:p>
          <w:p>
            <w:pPr>
              <w:adjustRightInd w:val="0"/>
              <w:snapToGrid w:val="0"/>
              <w:spacing w:line="360" w:lineRule="auto"/>
              <w:ind w:firstLine="480"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、运营期</w:t>
            </w:r>
          </w:p>
          <w:p>
            <w:pPr>
              <w:pStyle w:val="17"/>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本项目产品细分为</w:t>
            </w:r>
            <w:r>
              <w:rPr>
                <w:rFonts w:hint="default" w:ascii="Times New Roman" w:hAnsi="Times New Roman" w:eastAsia="宋体" w:cs="Times New Roman"/>
                <w:bCs/>
                <w:color w:val="000000" w:themeColor="text1"/>
                <w:sz w:val="24"/>
                <w:lang w:val="en-US" w:eastAsia="zh-CN"/>
                <w14:textFill>
                  <w14:solidFill>
                    <w14:schemeClr w14:val="tx1"/>
                  </w14:solidFill>
                </w14:textFill>
              </w:rPr>
              <w:t>鲜河粉</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eastAsia" w:cs="Times New Roman"/>
                <w:b w:val="0"/>
                <w:bCs/>
                <w:color w:val="auto"/>
                <w:sz w:val="24"/>
                <w:szCs w:val="21"/>
                <w:lang w:val="en-US" w:eastAsia="zh-CN"/>
              </w:rPr>
              <w:t>干切米粉和直条米粉</w:t>
            </w:r>
            <w:r>
              <w:rPr>
                <w:rFonts w:hint="default" w:ascii="Times New Roman" w:hAnsi="Times New Roman" w:eastAsia="宋体" w:cs="Times New Roman"/>
                <w:b w:val="0"/>
                <w:bCs/>
                <w:color w:val="auto"/>
                <w:sz w:val="24"/>
              </w:rPr>
              <w:t>，</w:t>
            </w:r>
            <w:r>
              <w:rPr>
                <w:rFonts w:hint="eastAsia" w:ascii="Times New Roman" w:hAnsi="Times New Roman" w:cs="Times New Roman"/>
                <w:bCs/>
                <w:color w:val="000000" w:themeColor="text1"/>
                <w:sz w:val="24"/>
                <w:lang w:val="en-US" w:eastAsia="zh-CN"/>
                <w14:textFill>
                  <w14:solidFill>
                    <w14:schemeClr w14:val="tx1"/>
                  </w14:solidFill>
                </w14:textFill>
              </w:rPr>
              <w:t>鲜河粉和</w:t>
            </w:r>
            <w:r>
              <w:rPr>
                <w:rFonts w:hint="eastAsia" w:cs="Times New Roman"/>
                <w:b w:val="0"/>
                <w:bCs/>
                <w:color w:val="auto"/>
                <w:sz w:val="24"/>
                <w:szCs w:val="21"/>
                <w:lang w:val="en-US" w:eastAsia="zh-CN"/>
              </w:rPr>
              <w:t>干切米粉、直条米粉</w:t>
            </w:r>
            <w:r>
              <w:rPr>
                <w:rFonts w:hint="default" w:ascii="Times New Roman" w:hAnsi="Times New Roman" w:eastAsia="宋体" w:cs="Times New Roman"/>
                <w:bCs/>
                <w:color w:val="000000" w:themeColor="text1"/>
                <w:sz w:val="24"/>
                <w14:textFill>
                  <w14:solidFill>
                    <w14:schemeClr w14:val="tx1"/>
                  </w14:solidFill>
                </w14:textFill>
              </w:rPr>
              <w:t>的</w:t>
            </w:r>
            <w:r>
              <w:rPr>
                <w:rFonts w:hint="eastAsia" w:ascii="Times New Roman" w:hAnsi="Times New Roman" w:cs="Times New Roman"/>
                <w:bCs/>
                <w:color w:val="000000" w:themeColor="text1"/>
                <w:sz w:val="24"/>
                <w:lang w:eastAsia="zh-CN"/>
                <w14:textFill>
                  <w14:solidFill>
                    <w14:schemeClr w14:val="tx1"/>
                  </w14:solidFill>
                </w14:textFill>
              </w:rPr>
              <w:t>生产工艺</w:t>
            </w:r>
            <w:r>
              <w:rPr>
                <w:rFonts w:hint="default" w:ascii="Times New Roman" w:hAnsi="Times New Roman" w:eastAsia="宋体" w:cs="Times New Roman"/>
                <w:bCs/>
                <w:color w:val="000000" w:themeColor="text1"/>
                <w:sz w:val="24"/>
                <w14:textFill>
                  <w14:solidFill>
                    <w14:schemeClr w14:val="tx1"/>
                  </w14:solidFill>
                </w14:textFill>
              </w:rPr>
              <w:t>略有不同，详细的生产工艺流程及产排污节点见下图。</w:t>
            </w:r>
          </w:p>
          <w:p>
            <w:pPr>
              <w:pStyle w:val="42"/>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0" distR="0">
                  <wp:extent cx="5222875" cy="2578100"/>
                  <wp:effectExtent l="0" t="0" r="15875" b="12700"/>
                  <wp:docPr id="1026" name="图片 124" descr="图片1"/>
                  <wp:cNvGraphicFramePr/>
                  <a:graphic xmlns:a="http://schemas.openxmlformats.org/drawingml/2006/main">
                    <a:graphicData uri="http://schemas.openxmlformats.org/drawingml/2006/picture">
                      <pic:pic xmlns:pic="http://schemas.openxmlformats.org/drawingml/2006/picture">
                        <pic:nvPicPr>
                          <pic:cNvPr id="1026" name="图片 124" descr="图片1"/>
                          <pic:cNvPicPr/>
                        </pic:nvPicPr>
                        <pic:blipFill>
                          <a:blip r:embed="rId20" cstate="print"/>
                          <a:srcRect/>
                          <a:stretch>
                            <a:fillRect/>
                          </a:stretch>
                        </pic:blipFill>
                        <pic:spPr>
                          <a:xfrm>
                            <a:off x="0" y="0"/>
                            <a:ext cx="5222875" cy="2578100"/>
                          </a:xfrm>
                          <a:prstGeom prst="rect">
                            <a:avLst/>
                          </a:prstGeom>
                        </pic:spPr>
                      </pic:pic>
                    </a:graphicData>
                  </a:graphic>
                </wp:inline>
              </w:drawing>
            </w:r>
          </w:p>
          <w:p>
            <w:pPr>
              <w:spacing w:line="360" w:lineRule="auto"/>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图2-</w:t>
            </w:r>
            <w:r>
              <w:rPr>
                <w:rFonts w:hint="default"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 xml:space="preserve">  项目</w:t>
            </w:r>
            <w:r>
              <w:rPr>
                <w:rFonts w:hint="default" w:ascii="Times New Roman" w:hAnsi="Times New Roman" w:eastAsia="宋体" w:cs="Times New Roman"/>
                <w:b/>
                <w:color w:val="000000" w:themeColor="text1"/>
                <w:sz w:val="24"/>
                <w:lang w:val="en-US" w:eastAsia="zh-CN"/>
                <w14:textFill>
                  <w14:solidFill>
                    <w14:schemeClr w14:val="tx1"/>
                  </w14:solidFill>
                </w14:textFill>
              </w:rPr>
              <w:t>鲜河粉</w:t>
            </w:r>
            <w:r>
              <w:rPr>
                <w:rFonts w:hint="default" w:ascii="Times New Roman" w:hAnsi="Times New Roman" w:eastAsia="宋体" w:cs="Times New Roman"/>
                <w:b/>
                <w:color w:val="000000" w:themeColor="text1"/>
                <w:sz w:val="24"/>
                <w14:textFill>
                  <w14:solidFill>
                    <w14:schemeClr w14:val="tx1"/>
                  </w14:solidFill>
                </w14:textFill>
              </w:rPr>
              <w:t>生产工艺流程及产污节点图</w:t>
            </w:r>
          </w:p>
          <w:p>
            <w:pPr>
              <w:spacing w:line="360" w:lineRule="auto"/>
              <w:jc w:val="lef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鲜河粉生产</w:t>
            </w:r>
            <w:r>
              <w:rPr>
                <w:rFonts w:hint="default" w:ascii="Times New Roman" w:hAnsi="Times New Roman" w:eastAsia="宋体" w:cs="Times New Roman"/>
                <w:b/>
                <w:color w:val="000000" w:themeColor="text1"/>
                <w:sz w:val="24"/>
                <w14:textFill>
                  <w14:solidFill>
                    <w14:schemeClr w14:val="tx1"/>
                  </w14:solidFill>
                </w14:textFill>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u w:val="none"/>
                <w:lang w:eastAsia="zh-CN"/>
                <w14:textFill>
                  <w14:solidFill>
                    <w14:schemeClr w14:val="tx1"/>
                  </w14:solidFill>
                </w14:textFill>
              </w:rPr>
              <w:t>洗米、泡米</w:t>
            </w:r>
            <w:r>
              <w:rPr>
                <w:rFonts w:hint="default" w:ascii="Times New Roman" w:hAnsi="Times New Roman" w:eastAsia="宋体" w:cs="Times New Roman"/>
                <w:b/>
                <w:bCs/>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eastAsia="zh-CN"/>
                <w14:textFill>
                  <w14:solidFill>
                    <w14:schemeClr w14:val="tx1"/>
                  </w14:solidFill>
                </w14:textFill>
              </w:rPr>
              <w:t>将大米倒进</w:t>
            </w:r>
            <w:r>
              <w:rPr>
                <w:rFonts w:hint="default" w:ascii="Times New Roman" w:hAnsi="Times New Roman" w:eastAsia="宋体" w:cs="Times New Roman"/>
                <w:color w:val="000000" w:themeColor="text1"/>
                <w:sz w:val="24"/>
                <w:u w:val="none"/>
                <w14:textFill>
                  <w14:solidFill>
                    <w14:schemeClr w14:val="tx1"/>
                  </w14:solidFill>
                </w14:textFill>
              </w:rPr>
              <w:t>洗米</w:t>
            </w:r>
            <w:r>
              <w:rPr>
                <w:rFonts w:hint="default" w:ascii="Times New Roman" w:hAnsi="Times New Roman" w:eastAsia="宋体" w:cs="Times New Roman"/>
                <w:color w:val="000000" w:themeColor="text1"/>
                <w:sz w:val="24"/>
                <w:u w:val="none"/>
                <w:lang w:eastAsia="zh-CN"/>
                <w14:textFill>
                  <w14:solidFill>
                    <w14:schemeClr w14:val="tx1"/>
                  </w14:solidFill>
                </w14:textFill>
              </w:rPr>
              <w:t>缸</w:t>
            </w:r>
            <w:r>
              <w:rPr>
                <w:rFonts w:hint="default" w:ascii="Times New Roman" w:hAnsi="Times New Roman" w:eastAsia="宋体" w:cs="Times New Roman"/>
                <w:color w:val="000000" w:themeColor="text1"/>
                <w:sz w:val="24"/>
                <w:u w:val="none"/>
                <w14:textFill>
                  <w14:solidFill>
                    <w14:schemeClr w14:val="tx1"/>
                  </w14:solidFill>
                </w14:textFill>
              </w:rPr>
              <w:t>中用水进行循环冲洗，冲洗废水排入车间</w:t>
            </w:r>
            <w:r>
              <w:rPr>
                <w:rFonts w:hint="default" w:ascii="Times New Roman" w:hAnsi="Times New Roman" w:eastAsia="宋体" w:cs="Times New Roman"/>
                <w:color w:val="000000" w:themeColor="text1"/>
                <w:sz w:val="24"/>
                <w:u w:val="none"/>
                <w:lang w:eastAsia="zh-CN"/>
                <w14:textFill>
                  <w14:solidFill>
                    <w14:schemeClr w14:val="tx1"/>
                  </w14:solidFill>
                </w14:textFill>
              </w:rPr>
              <w:t>的废水收集沟</w:t>
            </w:r>
            <w:r>
              <w:rPr>
                <w:rFonts w:hint="default" w:ascii="Times New Roman" w:hAnsi="Times New Roman" w:eastAsia="宋体" w:cs="Times New Roman"/>
                <w:color w:val="000000" w:themeColor="text1"/>
                <w:sz w:val="24"/>
                <w:u w:val="none"/>
                <w14:textFill>
                  <w14:solidFill>
                    <w14:schemeClr w14:val="tx1"/>
                  </w14:solidFill>
                </w14:textFill>
              </w:rPr>
              <w:t>，洗净的大米由泵送入</w:t>
            </w:r>
            <w:r>
              <w:rPr>
                <w:rFonts w:hint="default" w:ascii="Times New Roman" w:hAnsi="Times New Roman" w:eastAsia="宋体" w:cs="Times New Roman"/>
                <w:color w:val="000000" w:themeColor="text1"/>
                <w:sz w:val="24"/>
                <w:u w:val="none"/>
                <w:lang w:eastAsia="zh-CN"/>
                <w14:textFill>
                  <w14:solidFill>
                    <w14:schemeClr w14:val="tx1"/>
                  </w14:solidFill>
                </w14:textFill>
              </w:rPr>
              <w:t>泡</w:t>
            </w:r>
            <w:r>
              <w:rPr>
                <w:rFonts w:hint="default" w:ascii="Times New Roman" w:hAnsi="Times New Roman" w:eastAsia="宋体" w:cs="Times New Roman"/>
                <w:color w:val="000000" w:themeColor="text1"/>
                <w:sz w:val="24"/>
                <w:u w:val="none"/>
                <w14:textFill>
                  <w14:solidFill>
                    <w14:schemeClr w14:val="tx1"/>
                  </w14:solidFill>
                </w14:textFill>
              </w:rPr>
              <w:t>米</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缸</w:t>
            </w:r>
            <w:r>
              <w:rPr>
                <w:rFonts w:hint="default" w:ascii="Times New Roman" w:hAnsi="Times New Roman" w:eastAsia="宋体" w:cs="Times New Roman"/>
                <w:color w:val="000000" w:themeColor="text1"/>
                <w:sz w:val="24"/>
                <w:u w:val="none"/>
                <w14:textFill>
                  <w14:solidFill>
                    <w14:schemeClr w14:val="tx1"/>
                  </w14:solidFill>
                </w14:textFill>
              </w:rPr>
              <w:t>中；</w:t>
            </w:r>
            <w:r>
              <w:rPr>
                <w:rFonts w:hint="default" w:ascii="Times New Roman" w:hAnsi="Times New Roman" w:eastAsia="宋体" w:cs="Times New Roman"/>
                <w:color w:val="000000" w:themeColor="text1"/>
                <w:sz w:val="24"/>
                <w:u w:val="none"/>
                <w:lang w:eastAsia="zh-CN"/>
                <w14:textFill>
                  <w14:solidFill>
                    <w14:schemeClr w14:val="tx1"/>
                  </w14:solidFill>
                </w14:textFill>
              </w:rPr>
              <w:t>泡米</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缸</w:t>
            </w:r>
            <w:r>
              <w:rPr>
                <w:rFonts w:hint="default" w:ascii="Times New Roman" w:hAnsi="Times New Roman" w:eastAsia="宋体" w:cs="Times New Roman"/>
                <w:color w:val="000000" w:themeColor="text1"/>
                <w:sz w:val="24"/>
                <w:u w:val="none"/>
                <w14:textFill>
                  <w14:solidFill>
                    <w14:schemeClr w14:val="tx1"/>
                  </w14:solidFill>
                </w14:textFill>
              </w:rPr>
              <w:t>中用清水浸泡，</w:t>
            </w:r>
            <w:r>
              <w:rPr>
                <w:rFonts w:hint="default" w:ascii="Times New Roman" w:hAnsi="Times New Roman" w:eastAsia="宋体" w:cs="Times New Roman"/>
                <w:color w:val="000000" w:themeColor="text1"/>
                <w:sz w:val="24"/>
                <w:u w:val="none"/>
                <w:lang w:eastAsia="zh-CN"/>
                <w14:textFill>
                  <w14:solidFill>
                    <w14:schemeClr w14:val="tx1"/>
                  </w14:solidFill>
                </w14:textFill>
              </w:rPr>
              <w:t>泡</w:t>
            </w:r>
            <w:r>
              <w:rPr>
                <w:rFonts w:hint="default" w:ascii="Times New Roman" w:hAnsi="Times New Roman" w:eastAsia="宋体" w:cs="Times New Roman"/>
                <w:color w:val="000000" w:themeColor="text1"/>
                <w:sz w:val="24"/>
                <w:u w:val="none"/>
                <w14:textFill>
                  <w14:solidFill>
                    <w14:schemeClr w14:val="tx1"/>
                  </w14:solidFill>
                </w14:textFill>
              </w:rPr>
              <w:t>米时间冬长夏短</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因本项目使用外购的精细大米，</w:t>
            </w:r>
            <w:r>
              <w:rPr>
                <w:rFonts w:hint="default" w:ascii="Times New Roman" w:hAnsi="Times New Roman" w:eastAsia="宋体" w:cs="Times New Roman"/>
                <w:color w:val="000000" w:themeColor="text1"/>
                <w:sz w:val="24"/>
                <w:u w:val="none"/>
                <w:lang w:eastAsia="zh-CN"/>
                <w14:textFill>
                  <w14:solidFill>
                    <w14:schemeClr w14:val="tx1"/>
                  </w14:solidFill>
                </w14:textFill>
              </w:rPr>
              <w:t>因此</w:t>
            </w:r>
            <w:r>
              <w:rPr>
                <w:rFonts w:hint="default" w:ascii="Times New Roman" w:hAnsi="Times New Roman" w:eastAsia="宋体" w:cs="Times New Roman"/>
                <w:color w:val="000000" w:themeColor="text1"/>
                <w:sz w:val="24"/>
                <w14:textFill>
                  <w14:solidFill>
                    <w14:schemeClr w14:val="tx1"/>
                  </w14:solidFill>
                </w14:textFill>
              </w:rPr>
              <w:t>米渣量极少，全部收集后外售养殖场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此过程将产生生产废水</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噪声</w:t>
            </w:r>
            <w:r>
              <w:rPr>
                <w:rFonts w:hint="default" w:ascii="Times New Roman" w:hAnsi="Times New Roman" w:eastAsia="宋体" w:cs="Times New Roman"/>
                <w:color w:val="000000" w:themeColor="text1"/>
                <w:sz w:val="24"/>
                <w:lang w:val="en-US" w:eastAsia="zh-CN"/>
                <w14:textFill>
                  <w14:solidFill>
                    <w14:schemeClr w14:val="tx1"/>
                  </w14:solidFill>
                </w14:textFill>
              </w:rPr>
              <w:t>和固废</w:t>
            </w:r>
            <w:r>
              <w:rPr>
                <w:rFonts w:hint="default" w:ascii="Times New Roman" w:hAnsi="Times New Roman" w:eastAsia="宋体" w:cs="Times New Roman"/>
                <w:color w:val="000000" w:themeColor="text1"/>
                <w:sz w:val="24"/>
                <w:lang w:eastAsia="zh-CN"/>
                <w14:textFill>
                  <w14:solidFill>
                    <w14:schemeClr w14:val="tx1"/>
                  </w14:solidFill>
                </w14:textFill>
              </w:rPr>
              <w:t>。</w:t>
            </w:r>
          </w:p>
          <w:p>
            <w:pPr>
              <w:pStyle w:val="42"/>
              <w:spacing w:line="360" w:lineRule="auto"/>
              <w:ind w:firstLine="482"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b/>
                <w:bCs/>
                <w:color w:val="000000" w:themeColor="text1"/>
                <w:sz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u w:val="none"/>
                <w:lang w:eastAsia="zh-CN"/>
                <w14:textFill>
                  <w14:solidFill>
                    <w14:schemeClr w14:val="tx1"/>
                  </w14:solidFill>
                </w14:textFill>
              </w:rPr>
              <w:t>沥水</w:t>
            </w:r>
            <w:r>
              <w:rPr>
                <w:rFonts w:hint="default" w:ascii="Times New Roman" w:hAnsi="Times New Roman" w:eastAsia="宋体" w:cs="Times New Roman"/>
                <w:b/>
                <w:bCs/>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将</w:t>
            </w:r>
            <w:r>
              <w:rPr>
                <w:rFonts w:hint="default" w:ascii="Times New Roman" w:hAnsi="Times New Roman" w:eastAsia="宋体" w:cs="Times New Roman"/>
                <w:color w:val="000000" w:themeColor="text1"/>
                <w:sz w:val="24"/>
                <w:u w:val="none"/>
                <w:lang w:eastAsia="zh-CN"/>
                <w14:textFill>
                  <w14:solidFill>
                    <w14:schemeClr w14:val="tx1"/>
                  </w14:solidFill>
                </w14:textFill>
              </w:rPr>
              <w:t>浸泡</w:t>
            </w:r>
            <w:r>
              <w:rPr>
                <w:rFonts w:hint="default" w:ascii="Times New Roman" w:hAnsi="Times New Roman" w:eastAsia="宋体" w:cs="Times New Roman"/>
                <w:color w:val="000000" w:themeColor="text1"/>
                <w:sz w:val="24"/>
                <w:u w:val="none"/>
                <w14:textFill>
                  <w14:solidFill>
                    <w14:schemeClr w14:val="tx1"/>
                  </w14:solidFill>
                </w14:textFill>
              </w:rPr>
              <w:t>好的米</w:t>
            </w:r>
            <w:r>
              <w:rPr>
                <w:rFonts w:hint="default" w:ascii="Times New Roman" w:hAnsi="Times New Roman" w:eastAsia="宋体" w:cs="Times New Roman"/>
                <w:color w:val="000000" w:themeColor="text1"/>
                <w:sz w:val="24"/>
                <w:u w:val="none"/>
                <w:lang w:eastAsia="zh-CN"/>
                <w14:textFill>
                  <w14:solidFill>
                    <w14:schemeClr w14:val="tx1"/>
                  </w14:solidFill>
                </w14:textFill>
              </w:rPr>
              <w:t>由</w:t>
            </w:r>
            <w:r>
              <w:rPr>
                <w:rFonts w:hint="default" w:ascii="Times New Roman" w:hAnsi="Times New Roman" w:eastAsia="宋体" w:cs="Times New Roman"/>
                <w:color w:val="000000" w:themeColor="text1"/>
                <w:sz w:val="24"/>
                <w:u w:val="none"/>
                <w14:textFill>
                  <w14:solidFill>
                    <w14:schemeClr w14:val="tx1"/>
                  </w14:solidFill>
                </w14:textFill>
              </w:rPr>
              <w:t>泵送到</w:t>
            </w:r>
            <w:r>
              <w:rPr>
                <w:rFonts w:hint="default" w:ascii="Times New Roman" w:hAnsi="Times New Roman" w:eastAsia="宋体" w:cs="Times New Roman"/>
                <w:color w:val="000000" w:themeColor="text1"/>
                <w:sz w:val="24"/>
                <w:u w:val="none"/>
                <w:lang w:eastAsia="zh-CN"/>
                <w14:textFill>
                  <w14:solidFill>
                    <w14:schemeClr w14:val="tx1"/>
                  </w14:solidFill>
                </w14:textFill>
              </w:rPr>
              <w:t>沥水罐</w:t>
            </w:r>
            <w:r>
              <w:rPr>
                <w:rFonts w:hint="default" w:ascii="Times New Roman" w:hAnsi="Times New Roman" w:eastAsia="宋体" w:cs="Times New Roman"/>
                <w:color w:val="000000" w:themeColor="text1"/>
                <w:sz w:val="24"/>
                <w:u w:val="none"/>
                <w14:textFill>
                  <w14:solidFill>
                    <w14:schemeClr w14:val="tx1"/>
                  </w14:solidFill>
                </w14:textFill>
              </w:rPr>
              <w:t>中</w:t>
            </w:r>
            <w:r>
              <w:rPr>
                <w:rFonts w:hint="default" w:ascii="Times New Roman" w:hAnsi="Times New Roman" w:eastAsia="宋体" w:cs="Times New Roman"/>
                <w:color w:val="000000" w:themeColor="text1"/>
                <w:sz w:val="24"/>
                <w:u w:val="none"/>
                <w:lang w:eastAsia="zh-CN"/>
                <w14:textFill>
                  <w14:solidFill>
                    <w14:schemeClr w14:val="tx1"/>
                  </w14:solidFill>
                </w14:textFill>
              </w:rPr>
              <w:t>进行沥干，</w:t>
            </w:r>
            <w:r>
              <w:rPr>
                <w:rFonts w:hint="default" w:ascii="Times New Roman" w:hAnsi="Times New Roman" w:eastAsia="宋体" w:cs="Times New Roman"/>
                <w:color w:val="000000" w:themeColor="text1"/>
                <w:sz w:val="24"/>
                <w:u w:val="none"/>
                <w14:textFill>
                  <w14:solidFill>
                    <w14:schemeClr w14:val="tx1"/>
                  </w14:solidFill>
                </w14:textFill>
              </w:rPr>
              <w:t>除去湿米中多余的水份。</w:t>
            </w:r>
            <w:r>
              <w:rPr>
                <w:rFonts w:hint="default" w:ascii="Times New Roman" w:hAnsi="Times New Roman" w:eastAsia="宋体" w:cs="Times New Roman"/>
                <w:color w:val="000000" w:themeColor="text1"/>
                <w:sz w:val="24"/>
                <w:u w:val="none"/>
                <w:lang w:eastAsia="zh-CN"/>
                <w14:textFill>
                  <w14:solidFill>
                    <w14:schemeClr w14:val="tx1"/>
                  </w14:solidFill>
                </w14:textFill>
              </w:rPr>
              <w:t>沥水</w:t>
            </w:r>
            <w:r>
              <w:rPr>
                <w:rFonts w:hint="default" w:ascii="Times New Roman" w:hAnsi="Times New Roman" w:eastAsia="宋体" w:cs="Times New Roman"/>
                <w:color w:val="000000" w:themeColor="text1"/>
                <w:sz w:val="24"/>
                <w:u w:val="none"/>
                <w14:textFill>
                  <w14:solidFill>
                    <w14:schemeClr w14:val="tx1"/>
                  </w14:solidFill>
                </w14:textFill>
              </w:rPr>
              <w:t>时间长短以米粒表面没有明显的游离水</w:t>
            </w:r>
            <w:r>
              <w:rPr>
                <w:rFonts w:hint="default" w:ascii="Times New Roman" w:hAnsi="Times New Roman" w:eastAsia="宋体" w:cs="Times New Roman"/>
                <w:color w:val="000000" w:themeColor="text1"/>
                <w:sz w:val="24"/>
                <w:u w:val="none"/>
                <w:lang w:eastAsia="zh-CN"/>
                <w14:textFill>
                  <w14:solidFill>
                    <w14:schemeClr w14:val="tx1"/>
                  </w14:solidFill>
                </w14:textFill>
              </w:rPr>
              <w:t>、磨粉</w:t>
            </w:r>
            <w:r>
              <w:rPr>
                <w:rFonts w:hint="default" w:ascii="Times New Roman" w:hAnsi="Times New Roman" w:eastAsia="宋体" w:cs="Times New Roman"/>
                <w:color w:val="000000" w:themeColor="text1"/>
                <w:sz w:val="24"/>
                <w:u w:val="none"/>
                <w14:textFill>
                  <w14:solidFill>
                    <w14:schemeClr w14:val="tx1"/>
                  </w14:solidFill>
                </w14:textFill>
              </w:rPr>
              <w:t>时不堵筛片为准</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此</w:t>
            </w:r>
            <w:r>
              <w:rPr>
                <w:rFonts w:hint="default" w:ascii="Times New Roman" w:hAnsi="Times New Roman" w:eastAsia="宋体" w:cs="Times New Roman"/>
                <w:color w:val="000000" w:themeColor="text1"/>
                <w:sz w:val="24"/>
                <w:u w:val="none"/>
                <w:lang w:eastAsia="zh-CN"/>
                <w14:textFill>
                  <w14:solidFill>
                    <w14:schemeClr w14:val="tx1"/>
                  </w14:solidFill>
                </w14:textFill>
              </w:rPr>
              <w:t>过程会</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有少量废水和噪声</w:t>
            </w:r>
            <w:r>
              <w:rPr>
                <w:rFonts w:hint="default" w:ascii="Times New Roman" w:hAnsi="Times New Roman" w:eastAsia="宋体" w:cs="Times New Roman"/>
                <w:color w:val="000000" w:themeColor="text1"/>
                <w:sz w:val="24"/>
                <w:u w:val="none"/>
                <w14:textFill>
                  <w14:solidFill>
                    <w14:schemeClr w14:val="tx1"/>
                  </w14:solidFill>
                </w14:textFill>
              </w:rPr>
              <w:t>产生。</w:t>
            </w:r>
          </w:p>
          <w:p>
            <w:pPr>
              <w:pStyle w:val="42"/>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（3）磨浆：</w:t>
            </w:r>
            <w:r>
              <w:rPr>
                <w:rFonts w:hint="default" w:ascii="Times New Roman" w:hAnsi="Times New Roman" w:eastAsia="宋体" w:cs="Times New Roman"/>
                <w:color w:val="000000" w:themeColor="text1"/>
                <w:sz w:val="24"/>
                <w14:textFill>
                  <w14:solidFill>
                    <w14:schemeClr w14:val="tx1"/>
                  </w14:solidFill>
                </w14:textFill>
              </w:rPr>
              <w:t>磨浆是把</w:t>
            </w:r>
            <w:r>
              <w:rPr>
                <w:rFonts w:hint="default" w:ascii="Times New Roman" w:hAnsi="Times New Roman" w:eastAsia="宋体" w:cs="Times New Roman"/>
                <w:color w:val="000000" w:themeColor="text1"/>
                <w:sz w:val="24"/>
                <w:lang w:val="en-US" w:eastAsia="zh-CN"/>
                <w14:textFill>
                  <w14:solidFill>
                    <w14:schemeClr w14:val="tx1"/>
                  </w14:solidFill>
                </w14:textFill>
              </w:rPr>
              <w:t>沥水后</w:t>
            </w:r>
            <w:r>
              <w:rPr>
                <w:rFonts w:hint="default" w:ascii="Times New Roman" w:hAnsi="Times New Roman" w:eastAsia="宋体" w:cs="Times New Roman"/>
                <w:color w:val="000000" w:themeColor="text1"/>
                <w:sz w:val="24"/>
                <w14:textFill>
                  <w14:solidFill>
                    <w14:schemeClr w14:val="tx1"/>
                  </w14:solidFill>
                </w14:textFill>
              </w:rPr>
              <w:t>的大米，</w:t>
            </w:r>
            <w:r>
              <w:rPr>
                <w:rFonts w:hint="default" w:ascii="Times New Roman" w:hAnsi="Times New Roman" w:eastAsia="宋体" w:cs="Times New Roman"/>
                <w:color w:val="000000" w:themeColor="text1"/>
                <w:sz w:val="24"/>
                <w:u w:val="none"/>
                <w:lang w:eastAsia="zh-CN"/>
                <w14:textFill>
                  <w14:solidFill>
                    <w14:schemeClr w14:val="tx1"/>
                  </w14:solidFill>
                </w14:textFill>
              </w:rPr>
              <w:t>再由大米定量输送器送入</w:t>
            </w:r>
            <w:r>
              <w:rPr>
                <w:rFonts w:hint="default" w:ascii="Times New Roman" w:hAnsi="Times New Roman" w:eastAsia="宋体" w:cs="Times New Roman"/>
                <w:color w:val="000000" w:themeColor="text1"/>
                <w:sz w:val="24"/>
                <w:lang w:val="en-US" w:eastAsia="zh-CN"/>
                <w14:textFill>
                  <w14:solidFill>
                    <w14:schemeClr w14:val="tx1"/>
                  </w14:solidFill>
                </w14:textFill>
              </w:rPr>
              <w:t>磨浆机与</w:t>
            </w:r>
            <w:r>
              <w:rPr>
                <w:rFonts w:hint="default" w:ascii="Times New Roman" w:hAnsi="Times New Roman" w:eastAsia="宋体" w:cs="Times New Roman"/>
                <w:color w:val="000000" w:themeColor="text1"/>
                <w:sz w:val="24"/>
                <w14:textFill>
                  <w14:solidFill>
                    <w14:schemeClr w14:val="tx1"/>
                  </w14:solidFill>
                </w14:textFill>
              </w:rPr>
              <w:t>水混合磨成介于固体与液体之间的可流动的糊状米浆。磨浆要求进料进水均匀，磨浆的含水量为</w:t>
            </w:r>
            <w:r>
              <w:rPr>
                <w:rFonts w:hint="eastAsia" w:cs="Times New Roman"/>
                <w:color w:val="000000" w:themeColor="text1"/>
                <w:sz w:val="24"/>
                <w:lang w:eastAsia="zh-CN"/>
                <w14:textFill>
                  <w14:solidFill>
                    <w14:schemeClr w14:val="tx1"/>
                  </w14:solidFill>
                </w14:textFill>
              </w:rPr>
              <w:t>50%~60%</w:t>
            </w:r>
            <w:r>
              <w:rPr>
                <w:rFonts w:hint="default" w:ascii="Times New Roman" w:hAnsi="Times New Roman" w:eastAsia="宋体" w:cs="Times New Roman"/>
                <w:color w:val="000000" w:themeColor="text1"/>
                <w:sz w:val="24"/>
                <w14:textFill>
                  <w14:solidFill>
                    <w14:schemeClr w14:val="tx1"/>
                  </w14:solidFill>
                </w14:textFill>
              </w:rPr>
              <w:t>；磨浆粗细以通过100目筛为好，如米浆较粗，则成品表面粗糙、耐咀嚼性差</w:t>
            </w:r>
            <w:r>
              <w:rPr>
                <w:rFonts w:hint="eastAsia" w:cs="Times New Roman"/>
                <w:color w:val="000000" w:themeColor="text1"/>
                <w:sz w:val="24"/>
                <w:lang w:eastAsia="zh-CN"/>
                <w14:textFill>
                  <w14:solidFill>
                    <w14:schemeClr w14:val="tx1"/>
                  </w14:solidFill>
                </w14:textFill>
              </w:rPr>
              <w:t>，通</w:t>
            </w:r>
            <w:r>
              <w:rPr>
                <w:rFonts w:hint="default" w:ascii="Times New Roman" w:hAnsi="Times New Roman" w:eastAsia="宋体" w:cs="Times New Roman"/>
                <w:color w:val="000000" w:themeColor="text1"/>
                <w:sz w:val="24"/>
                <w14:textFill>
                  <w14:solidFill>
                    <w14:schemeClr w14:val="tx1"/>
                  </w14:solidFill>
                </w14:textFill>
              </w:rPr>
              <w:t>过100目筛的成品，则成品感官和蒸粉质量都较好。总体而言，米浆越细越好。如磨出的米浆颗粒太粗，通常有以下几种原因：浸泡时间不够；吸水膨胀不均匀；动磨碟与静磨碟之间间隙太大，压力不足；进料或进水过多，米粒没有充分研磨就往外流出。其用水量约为大米的量，均被大米吸收。磨浆过程将产生噪声（N1）。</w:t>
            </w:r>
          </w:p>
          <w:p>
            <w:pPr>
              <w:pStyle w:val="42"/>
              <w:spacing w:line="360" w:lineRule="auto"/>
              <w:ind w:firstLine="482"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和料</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根据产品规格要求将米浆、淀粉</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水按比例放入搅拌机内进行调和</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w:t>
            </w:r>
            <w:r>
              <w:rPr>
                <w:rFonts w:hint="eastAsia" w:cs="Times New Roman"/>
                <w:color w:val="000000" w:themeColor="text1"/>
                <w:sz w:val="24"/>
                <w:szCs w:val="24"/>
                <w:lang w:val="en-US" w:eastAsia="zh-CN"/>
                <w14:textFill>
                  <w14:solidFill>
                    <w14:schemeClr w14:val="tx1"/>
                  </w14:solidFill>
                </w14:textFill>
              </w:rPr>
              <w:t>水分控制在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60%~80%之间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，此过程将产生</w:t>
            </w:r>
            <w:r>
              <w:rPr>
                <w:rFonts w:hint="default" w:ascii="Times New Roman" w:hAnsi="Times New Roman" w:eastAsia="宋体" w:cs="Times New Roman"/>
                <w:color w:val="000000" w:themeColor="text1"/>
                <w:sz w:val="24"/>
                <w:u w:val="none"/>
                <w14:textFill>
                  <w14:solidFill>
                    <w14:schemeClr w14:val="tx1"/>
                  </w14:solidFill>
                </w14:textFill>
              </w:rPr>
              <w:t>极少量粉尘</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和噪声，粉尘</w:t>
            </w:r>
            <w:r>
              <w:rPr>
                <w:rFonts w:hint="default" w:ascii="Times New Roman" w:hAnsi="Times New Roman" w:eastAsia="宋体" w:cs="Times New Roman"/>
                <w:color w:val="000000" w:themeColor="text1"/>
                <w:sz w:val="24"/>
                <w:u w:val="none"/>
                <w14:textFill>
                  <w14:solidFill>
                    <w14:schemeClr w14:val="tx1"/>
                  </w14:solidFill>
                </w14:textFill>
              </w:rPr>
              <w:t>扩散至车间</w:t>
            </w:r>
            <w:r>
              <w:rPr>
                <w:rFonts w:hint="default" w:ascii="Times New Roman" w:hAnsi="Times New Roman" w:eastAsia="宋体" w:cs="Times New Roman"/>
                <w:color w:val="000000" w:themeColor="text1"/>
                <w:sz w:val="24"/>
                <w:u w:val="none"/>
                <w:lang w:eastAsia="zh-CN"/>
                <w14:textFill>
                  <w14:solidFill>
                    <w14:schemeClr w14:val="tx1"/>
                  </w14:solidFill>
                </w14:textFill>
              </w:rPr>
              <w:t>，以无组织形式外排</w:t>
            </w:r>
            <w:r>
              <w:rPr>
                <w:rFonts w:hint="default" w:ascii="Times New Roman" w:hAnsi="Times New Roman" w:eastAsia="宋体" w:cs="Times New Roman"/>
                <w:color w:val="000000" w:themeColor="text1"/>
                <w:sz w:val="24"/>
                <w:lang w:eastAsia="zh-CN"/>
                <w14:textFill>
                  <w14:solidFill>
                    <w14:schemeClr w14:val="tx1"/>
                  </w14:solidFill>
                </w14:textFill>
              </w:rPr>
              <w:t>。</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（5）蒸片、分切：</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把浆料均匀涂布在蒸粉带上，通过蒸槽进行蒸汽蒸熟。将蒸熟的河粉皮按一定的宽度分切为细条。</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lang w:eastAsia="zh-CN"/>
                <w14:textFill>
                  <w14:solidFill>
                    <w14:schemeClr w14:val="tx1"/>
                  </w14:solidFill>
                </w14:textFill>
              </w:rPr>
              <w:t>质检、包装</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切断</w:t>
            </w:r>
            <w:r>
              <w:rPr>
                <w:rFonts w:hint="default" w:ascii="Times New Roman" w:hAnsi="Times New Roman" w:eastAsia="宋体" w:cs="Times New Roman"/>
                <w:color w:val="000000" w:themeColor="text1"/>
                <w:sz w:val="24"/>
                <w14:textFill>
                  <w14:solidFill>
                    <w14:schemeClr w14:val="tx1"/>
                  </w14:solidFill>
                </w14:textFill>
              </w:rPr>
              <w:t>后的粉</w:t>
            </w:r>
            <w:r>
              <w:rPr>
                <w:rFonts w:hint="default" w:ascii="Times New Roman" w:hAnsi="Times New Roman" w:eastAsia="宋体" w:cs="Times New Roman"/>
                <w:color w:val="000000" w:themeColor="text1"/>
                <w:sz w:val="24"/>
                <w:lang w:eastAsia="zh-CN"/>
                <w14:textFill>
                  <w14:solidFill>
                    <w14:schemeClr w14:val="tx1"/>
                  </w14:solidFill>
                </w14:textFill>
              </w:rPr>
              <w:t>丝进行质检，合格后</w:t>
            </w:r>
            <w:r>
              <w:rPr>
                <w:rFonts w:hint="default" w:ascii="Times New Roman" w:hAnsi="Times New Roman" w:eastAsia="宋体" w:cs="Times New Roman"/>
                <w:color w:val="000000" w:themeColor="text1"/>
                <w:sz w:val="24"/>
                <w14:textFill>
                  <w14:solidFill>
                    <w14:schemeClr w14:val="tx1"/>
                  </w14:solidFill>
                </w14:textFill>
              </w:rPr>
              <w:t>分别定量称取粉丝装入包装袋中，然后用自动封口机封口，即为成品。将封口后的粉袋暂存成品仓库，整齐</w:t>
            </w:r>
            <w:r>
              <w:rPr>
                <w:rFonts w:hint="eastAsia" w:cs="Times New Roman"/>
                <w:color w:val="000000" w:themeColor="text1"/>
                <w:sz w:val="24"/>
                <w:lang w:eastAsia="zh-CN"/>
                <w14:textFill>
                  <w14:solidFill>
                    <w14:schemeClr w14:val="tx1"/>
                  </w14:solidFill>
                </w14:textFill>
              </w:rPr>
              <w:t>排列</w:t>
            </w:r>
            <w:r>
              <w:rPr>
                <w:rFonts w:hint="default" w:ascii="Times New Roman" w:hAnsi="Times New Roman" w:eastAsia="宋体" w:cs="Times New Roman"/>
                <w:color w:val="000000" w:themeColor="text1"/>
                <w:sz w:val="24"/>
                <w14:textFill>
                  <w14:solidFill>
                    <w14:schemeClr w14:val="tx1"/>
                  </w14:solidFill>
                </w14:textFill>
              </w:rPr>
              <w:t>，以免压断</w:t>
            </w:r>
            <w:r>
              <w:rPr>
                <w:rFonts w:hint="default" w:ascii="Times New Roman" w:hAnsi="Times New Roman" w:eastAsia="宋体" w:cs="Times New Roman"/>
                <w:color w:val="000000" w:themeColor="text1"/>
                <w:sz w:val="24"/>
                <w:lang w:eastAsia="zh-CN"/>
                <w14:textFill>
                  <w14:solidFill>
                    <w14:schemeClr w14:val="tx1"/>
                  </w14:solidFill>
                </w14:textFill>
              </w:rPr>
              <w:t>，最后定时外售。</w:t>
            </w:r>
          </w:p>
          <w:p>
            <w:pPr>
              <w:pStyle w:val="42"/>
              <w:spacing w:line="360" w:lineRule="auto"/>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sz w:val="24"/>
              </w:rPr>
              <mc:AlternateContent>
                <mc:Choice Requires="wps">
                  <w:drawing>
                    <wp:anchor distT="0" distB="0" distL="114300" distR="114300" simplePos="0" relativeHeight="251667456" behindDoc="0" locked="0" layoutInCell="1" allowOverlap="1">
                      <wp:simplePos x="0" y="0"/>
                      <wp:positionH relativeFrom="column">
                        <wp:posOffset>3277870</wp:posOffset>
                      </wp:positionH>
                      <wp:positionV relativeFrom="paragraph">
                        <wp:posOffset>1565275</wp:posOffset>
                      </wp:positionV>
                      <wp:extent cx="325755" cy="174625"/>
                      <wp:effectExtent l="0" t="0" r="17145" b="15875"/>
                      <wp:wrapNone/>
                      <wp:docPr id="15" name="矩形 15"/>
                      <wp:cNvGraphicFramePr/>
                      <a:graphic xmlns:a="http://schemas.openxmlformats.org/drawingml/2006/main">
                        <a:graphicData uri="http://schemas.microsoft.com/office/word/2010/wordprocessingShape">
                          <wps:wsp>
                            <wps:cNvSpPr/>
                            <wps:spPr>
                              <a:xfrm>
                                <a:off x="4642485" y="6331585"/>
                                <a:ext cx="325755" cy="1746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1pt;margin-top:123.25pt;height:13.75pt;width:25.65pt;z-index:251667456;v-text-anchor:middle;mso-width-relative:page;mso-height-relative:page;" fillcolor="#FFFFFF [3212]" filled="t" stroked="f" coordsize="21600,21600" o:gfxdata="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gknM61gAAAAsBAAAPAAAAAAAAAAEAIAAAACIAAABkcnMvZG93bnJldi54bWxQ&#10;SwECFAAUAAAACACHTuJAzGis72sCAADBBAAADgAAAAAAAAABACAAAAAlAQAAZHJzL2Uyb0RvYy54&#10;bWxQSwUGAAAAAAYABgBZAQAAAgYAAAAA&#10;">
                      <v:fill on="t" focussize="0,0"/>
                      <v:stroke on="f" weight="2pt"/>
                      <v:imagedata o:title=""/>
                      <o:lock v:ext="edit" aspectratio="f"/>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3152775</wp:posOffset>
                      </wp:positionH>
                      <wp:positionV relativeFrom="paragraph">
                        <wp:posOffset>1837055</wp:posOffset>
                      </wp:positionV>
                      <wp:extent cx="300355" cy="204470"/>
                      <wp:effectExtent l="0" t="0" r="4445" b="5080"/>
                      <wp:wrapNone/>
                      <wp:docPr id="14" name="直接箭头连接符 14"/>
                      <wp:cNvGraphicFramePr/>
                      <a:graphic xmlns:a="http://schemas.openxmlformats.org/drawingml/2006/main">
                        <a:graphicData uri="http://schemas.microsoft.com/office/word/2010/wordprocessingShape">
                          <wps:wsp>
                            <wps:cNvCnPr>
                              <a:stCxn id="9" idx="0"/>
                            </wps:cNvCnPr>
                            <wps:spPr>
                              <a:xfrm flipH="1" flipV="1">
                                <a:off x="0" y="0"/>
                                <a:ext cx="300355" cy="20447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8.25pt;margin-top:144.65pt;height:16.1pt;width:23.65pt;z-index:251666432;mso-width-relative:page;mso-height-relative:page;" filled="f" stroked="t" coordsize="21600,21600" o:gfxdata="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UeSXbAAAACwEA&#10;AA8AAAAAAAAAAQAgAAAAIgAAAGRycy9kb3ducmV2LnhtbFBLAQIUABQAAAAIAIdO4kCCk/BiFwIA&#10;AAcEAAAOAAAAAAAAAAEAIAAAACoBAABkcnMvZTJvRG9jLnhtbFBLBQYAAAAABgAGAFkBAACzBQAA&#10;AAA=&#10;">
                      <v:fill on="f" focussize="0,0"/>
                      <v:stroke weight="0.25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3603625</wp:posOffset>
                      </wp:positionH>
                      <wp:positionV relativeFrom="paragraph">
                        <wp:posOffset>1787525</wp:posOffset>
                      </wp:positionV>
                      <wp:extent cx="158750" cy="230505"/>
                      <wp:effectExtent l="0" t="2540" r="12700" b="14605"/>
                      <wp:wrapNone/>
                      <wp:docPr id="13" name="直接箭头连接符 13"/>
                      <wp:cNvGraphicFramePr/>
                      <a:graphic xmlns:a="http://schemas.openxmlformats.org/drawingml/2006/main">
                        <a:graphicData uri="http://schemas.microsoft.com/office/word/2010/wordprocessingShape">
                          <wps:wsp>
                            <wps:cNvCnPr/>
                            <wps:spPr>
                              <a:xfrm flipH="1">
                                <a:off x="4968240" y="6553835"/>
                                <a:ext cx="158750" cy="23050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3.75pt;margin-top:140.75pt;height:18.15pt;width:12.5pt;z-index:251665408;mso-width-relative:page;mso-height-relative:page;" filled="f" stroked="t" coordsize="21600,21600" o:gfxdata="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N35xNkAAAALAQAADwAAAAAA&#10;AAABACAAAAAiAAAAZHJzL2Rvd25yZXYueG1sUEsBAhQAFAAAAAgAh07iQKT3p3ASAgAA4wMAAA4A&#10;AAAAAAAAAQAgAAAAKAEAAGRycy9lMm9Eb2MueG1sUEsFBgAAAAAGAAYAWQEAAKwFAAAAAA==&#10;">
                      <v:fill on="f" focussize="0,0"/>
                      <v:stroke weight="0.25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3199130</wp:posOffset>
                      </wp:positionH>
                      <wp:positionV relativeFrom="paragraph">
                        <wp:posOffset>2041525</wp:posOffset>
                      </wp:positionV>
                      <wp:extent cx="508000" cy="294640"/>
                      <wp:effectExtent l="5080" t="4445" r="20320" b="5715"/>
                      <wp:wrapNone/>
                      <wp:docPr id="9" name="矩形 9"/>
                      <wp:cNvGraphicFramePr/>
                      <a:graphic xmlns:a="http://schemas.openxmlformats.org/drawingml/2006/main">
                        <a:graphicData uri="http://schemas.microsoft.com/office/word/2010/wordprocessingShape">
                          <wps:wsp>
                            <wps:cNvSpPr/>
                            <wps:spPr>
                              <a:xfrm>
                                <a:off x="2253615" y="5918835"/>
                                <a:ext cx="508000" cy="294640"/>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9pt;margin-top:160.75pt;height:23.2pt;width:40pt;z-index:251664384;v-text-anchor:middle;mso-width-relative:page;mso-height-relative:page;" fillcolor="#FFFFFF [3212]" filled="t" stroked="t" coordsize="21600,21600" o:gfxdata="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8FXvv2QAAAAsBAAAPAAAAAAAAAAEAIAAAACIA&#10;AABkcnMvZG93bnJldi54bWxQSwECFAAUAAAACACHTuJApPWFmnoCAADyBAAADgAAAAAAAAABACAA&#10;AAAoAQAAZHJzL2Uyb0RvYy54bWxQSwUGAAAAAAYABgBZAQAAFAYAAAAA&#10;">
                      <v:fill on="t" focussize="0,0"/>
                      <v:stroke weight="0.5pt" color="#000000 [3213]" joinstyle="round"/>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冷却</w:t>
                            </w:r>
                          </w:p>
                        </w:txbxContent>
                      </v:textbox>
                    </v:rect>
                  </w:pict>
                </mc:Fallback>
              </mc:AlternateContent>
            </w:r>
            <w:r>
              <w:rPr>
                <w:rFonts w:hint="default" w:ascii="Times New Roman" w:hAnsi="Times New Roman" w:eastAsia="宋体" w:cs="Times New Roman"/>
                <w:b/>
                <w:color w:val="000000" w:themeColor="text1"/>
                <w:sz w:val="24"/>
                <w:lang w:eastAsia="zh-CN"/>
                <w14:textFill>
                  <w14:solidFill>
                    <w14:schemeClr w14:val="tx1"/>
                  </w14:solidFill>
                </w14:textFill>
              </w:rPr>
              <w:drawing>
                <wp:inline distT="0" distB="0" distL="0" distR="0">
                  <wp:extent cx="5222875" cy="2578100"/>
                  <wp:effectExtent l="0" t="0" r="15875" b="12700"/>
                  <wp:docPr id="1027" name="图片 125" descr="图片1"/>
                  <wp:cNvGraphicFramePr/>
                  <a:graphic xmlns:a="http://schemas.openxmlformats.org/drawingml/2006/main">
                    <a:graphicData uri="http://schemas.openxmlformats.org/drawingml/2006/picture">
                      <pic:pic xmlns:pic="http://schemas.openxmlformats.org/drawingml/2006/picture">
                        <pic:nvPicPr>
                          <pic:cNvPr id="1027" name="图片 125" descr="图片1"/>
                          <pic:cNvPicPr/>
                        </pic:nvPicPr>
                        <pic:blipFill>
                          <a:blip r:embed="rId21" cstate="print"/>
                          <a:srcRect/>
                          <a:stretch>
                            <a:fillRect/>
                          </a:stretch>
                        </pic:blipFill>
                        <pic:spPr>
                          <a:xfrm>
                            <a:off x="0" y="0"/>
                            <a:ext cx="5222875" cy="2578100"/>
                          </a:xfrm>
                          <a:prstGeom prst="rect">
                            <a:avLst/>
                          </a:prstGeom>
                        </pic:spPr>
                      </pic:pic>
                    </a:graphicData>
                  </a:graphic>
                </wp:inline>
              </w:drawing>
            </w:r>
          </w:p>
          <w:p>
            <w:pPr>
              <w:pStyle w:val="42"/>
              <w:spacing w:line="360" w:lineRule="auto"/>
              <w:jc w:val="center"/>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图</w:t>
            </w:r>
            <w:r>
              <w:rPr>
                <w:rFonts w:hint="default" w:ascii="Times New Roman" w:hAnsi="Times New Roman" w:eastAsia="宋体" w:cs="Times New Roman"/>
                <w:b/>
                <w:color w:val="000000" w:themeColor="text1"/>
                <w:sz w:val="24"/>
                <w:szCs w:val="21"/>
                <w:lang w:val="en-US" w:eastAsia="zh-CN"/>
                <w14:textFill>
                  <w14:solidFill>
                    <w14:schemeClr w14:val="tx1"/>
                  </w14:solidFill>
                </w14:textFill>
              </w:rPr>
              <w:t>3-3</w:t>
            </w:r>
            <w:r>
              <w:rPr>
                <w:rFonts w:hint="default" w:ascii="Times New Roman" w:hAnsi="Times New Roman" w:eastAsia="宋体" w:cs="Times New Roman"/>
                <w:b/>
                <w:color w:val="000000" w:themeColor="text1"/>
                <w:sz w:val="24"/>
                <w:szCs w:val="21"/>
                <w14:textFill>
                  <w14:solidFill>
                    <w14:schemeClr w14:val="tx1"/>
                  </w14:solidFill>
                </w14:textFill>
              </w:rPr>
              <w:t xml:space="preserve">  </w:t>
            </w:r>
            <w:r>
              <w:rPr>
                <w:rFonts w:hint="eastAsia" w:cs="Times New Roman"/>
                <w:b/>
                <w:color w:val="000000" w:themeColor="text1"/>
                <w:sz w:val="24"/>
                <w:szCs w:val="21"/>
                <w:lang w:val="en-US" w:eastAsia="zh-CN"/>
                <w14:textFill>
                  <w14:solidFill>
                    <w14:schemeClr w14:val="tx1"/>
                  </w14:solidFill>
                </w14:textFill>
              </w:rPr>
              <w:t>干切米粉、直条米粉</w:t>
            </w:r>
            <w:r>
              <w:rPr>
                <w:rFonts w:hint="default" w:ascii="Times New Roman" w:hAnsi="Times New Roman" w:eastAsia="宋体" w:cs="Times New Roman"/>
                <w:b/>
                <w:color w:val="000000" w:themeColor="text1"/>
                <w:sz w:val="24"/>
                <w:szCs w:val="21"/>
                <w:lang w:eastAsia="zh-CN"/>
                <w14:textFill>
                  <w14:solidFill>
                    <w14:schemeClr w14:val="tx1"/>
                  </w14:solidFill>
                </w14:textFill>
              </w:rPr>
              <w:t>生产</w:t>
            </w:r>
            <w:r>
              <w:rPr>
                <w:rFonts w:hint="default" w:ascii="Times New Roman" w:hAnsi="Times New Roman" w:eastAsia="宋体" w:cs="Times New Roman"/>
                <w:b/>
                <w:color w:val="000000" w:themeColor="text1"/>
                <w:sz w:val="24"/>
                <w:szCs w:val="21"/>
                <w14:textFill>
                  <w14:solidFill>
                    <w14:schemeClr w14:val="tx1"/>
                  </w14:solidFill>
                </w14:textFill>
              </w:rPr>
              <w:t>工艺流程及产排污节点图</w:t>
            </w:r>
          </w:p>
          <w:p>
            <w:pPr>
              <w:pStyle w:val="42"/>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cs="Times New Roman"/>
                <w:b/>
                <w:color w:val="000000" w:themeColor="text1"/>
                <w:sz w:val="24"/>
                <w:szCs w:val="21"/>
                <w:lang w:val="en-US" w:eastAsia="zh-CN"/>
                <w14:textFill>
                  <w14:solidFill>
                    <w14:schemeClr w14:val="tx1"/>
                  </w14:solidFill>
                </w14:textFill>
              </w:rPr>
              <w:t>干切米粉、直条米粉</w:t>
            </w:r>
            <w:r>
              <w:rPr>
                <w:rFonts w:hint="default" w:ascii="Times New Roman" w:hAnsi="Times New Roman" w:eastAsia="宋体" w:cs="Times New Roman"/>
                <w:b/>
                <w:color w:val="000000" w:themeColor="text1"/>
                <w:sz w:val="24"/>
                <w:lang w:val="en-US" w:eastAsia="zh-CN"/>
                <w14:textFill>
                  <w14:solidFill>
                    <w14:schemeClr w14:val="tx1"/>
                  </w14:solidFill>
                </w14:textFill>
              </w:rPr>
              <w:t>生产工艺流程简述</w:t>
            </w:r>
            <w:r>
              <w:rPr>
                <w:rFonts w:hint="default" w:ascii="Times New Roman" w:hAnsi="Times New Roman" w:eastAsia="宋体" w:cs="Times New Roman"/>
                <w:b/>
                <w:color w:val="000000" w:themeColor="text1"/>
                <w:sz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洗米、泡米、沥水</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和磨浆</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洗米、泡米、沥水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和磨浆</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这几个工序同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鲜河</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粉的这几个加工工序一样。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制粉成型：</w:t>
            </w:r>
            <w:r>
              <w:rPr>
                <w:rFonts w:hint="default" w:ascii="Times New Roman" w:hAnsi="Times New Roman" w:eastAsia="宋体" w:cs="Times New Roman"/>
                <w:b w:val="0"/>
                <w:bCs w:val="0"/>
                <w:color w:val="000000" w:themeColor="text1"/>
                <w:sz w:val="24"/>
                <w:szCs w:val="24"/>
                <w:u w:val="none"/>
                <w:lang w:eastAsia="zh-CN"/>
                <w14:textFill>
                  <w14:solidFill>
                    <w14:schemeClr w14:val="tx1"/>
                  </w14:solidFill>
                </w14:textFill>
              </w:rPr>
              <w:t>此工序采用生物质锅炉产生的</w:t>
            </w:r>
            <w:r>
              <w:rPr>
                <w:rFonts w:hint="default" w:ascii="Times New Roman" w:hAnsi="Times New Roman" w:eastAsia="宋体" w:cs="Times New Roman"/>
                <w:color w:val="000000" w:themeColor="text1"/>
                <w:sz w:val="24"/>
                <w:szCs w:val="24"/>
                <w:u w:val="none"/>
                <w14:textFill>
                  <w14:solidFill>
                    <w14:schemeClr w14:val="tx1"/>
                  </w14:solidFill>
                </w14:textFill>
              </w:rPr>
              <w:t>蒸汽制粉成型</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，然后经过</w:t>
            </w:r>
            <w:r>
              <w:rPr>
                <w:rFonts w:hint="default" w:ascii="Times New Roman" w:hAnsi="Times New Roman" w:eastAsia="宋体" w:cs="Times New Roman"/>
                <w:color w:val="000000" w:themeColor="text1"/>
                <w:sz w:val="24"/>
                <w:szCs w:val="24"/>
                <w:u w:val="none"/>
                <w14:textFill>
                  <w14:solidFill>
                    <w14:schemeClr w14:val="tx1"/>
                  </w14:solidFill>
                </w14:textFill>
              </w:rPr>
              <w:t>螺旋挤压</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，产生高温高压，使</w:t>
            </w:r>
            <w:r>
              <w:rPr>
                <w:rFonts w:hint="default" w:ascii="Times New Roman" w:hAnsi="Times New Roman" w:eastAsia="宋体" w:cs="Times New Roman"/>
                <w:color w:val="000000" w:themeColor="text1"/>
                <w:sz w:val="24"/>
                <w:szCs w:val="24"/>
                <w:u w:val="none"/>
                <w14:textFill>
                  <w14:solidFill>
                    <w14:schemeClr w14:val="tx1"/>
                  </w14:solidFill>
                </w14:textFill>
              </w:rPr>
              <w:t>蒸汽温度</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达到</w:t>
            </w:r>
            <w:r>
              <w:rPr>
                <w:rFonts w:hint="default" w:ascii="Times New Roman" w:hAnsi="Times New Roman" w:eastAsia="宋体" w:cs="Times New Roman"/>
                <w:color w:val="000000" w:themeColor="text1"/>
                <w:sz w:val="24"/>
                <w:szCs w:val="24"/>
                <w:u w:val="none"/>
                <w14:textFill>
                  <w14:solidFill>
                    <w14:schemeClr w14:val="tx1"/>
                  </w14:solidFill>
                </w14:textFill>
              </w:rPr>
              <w:t>115℃—125℃之间</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，将</w:t>
            </w:r>
            <w:r>
              <w:rPr>
                <w:rFonts w:hint="default" w:ascii="Times New Roman" w:hAnsi="Times New Roman" w:eastAsia="宋体" w:cs="Times New Roman"/>
                <w:color w:val="000000" w:themeColor="text1"/>
                <w:sz w:val="24"/>
                <w:szCs w:val="24"/>
                <w:u w:val="none"/>
                <w14:textFill>
                  <w14:solidFill>
                    <w14:schemeClr w14:val="tx1"/>
                  </w14:solidFill>
                </w14:textFill>
              </w:rPr>
              <w:t>原料充分熟化</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糊化。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蒸粉：</w:t>
            </w:r>
            <w:r>
              <w:rPr>
                <w:rFonts w:hint="default" w:ascii="Times New Roman" w:hAnsi="Times New Roman" w:eastAsia="宋体" w:cs="Times New Roman"/>
                <w:color w:val="000000" w:themeColor="text1"/>
                <w:sz w:val="24"/>
                <w:szCs w:val="24"/>
                <w14:textFill>
                  <w14:solidFill>
                    <w14:schemeClr w14:val="tx1"/>
                  </w14:solidFill>
                </w14:textFill>
              </w:rPr>
              <w:t>把熟化</w:t>
            </w:r>
            <w:r>
              <w:rPr>
                <w:rFonts w:hint="default" w:ascii="Times New Roman" w:hAnsi="Times New Roman" w:eastAsia="宋体" w:cs="Times New Roman"/>
                <w:color w:val="000000" w:themeColor="text1"/>
                <w:sz w:val="24"/>
                <w:szCs w:val="24"/>
                <w:lang w:eastAsia="zh-CN"/>
                <w14:textFill>
                  <w14:solidFill>
                    <w14:schemeClr w14:val="tx1"/>
                  </w14:solidFill>
                </w14:textFill>
              </w:rPr>
              <w:t>糊化好的</w:t>
            </w:r>
            <w:r>
              <w:rPr>
                <w:rFonts w:hint="eastAsia" w:cs="Times New Roman"/>
                <w:color w:val="000000" w:themeColor="text1"/>
                <w:sz w:val="24"/>
                <w:szCs w:val="24"/>
                <w:lang w:val="en-US" w:eastAsia="zh-CN"/>
                <w14:textFill>
                  <w14:solidFill>
                    <w14:schemeClr w14:val="tx1"/>
                  </w14:solidFill>
                </w14:textFill>
              </w:rPr>
              <w:t>米</w:t>
            </w:r>
            <w:r>
              <w:rPr>
                <w:rFonts w:hint="default" w:ascii="Times New Roman" w:hAnsi="Times New Roman" w:eastAsia="宋体" w:cs="Times New Roman"/>
                <w:color w:val="000000" w:themeColor="text1"/>
                <w:sz w:val="24"/>
                <w:szCs w:val="24"/>
                <w14:textFill>
                  <w14:solidFill>
                    <w14:schemeClr w14:val="tx1"/>
                  </w14:solidFill>
                </w14:textFill>
              </w:rPr>
              <w:t>粉均匀分布在蒸粉带上，通过蒸</w:t>
            </w:r>
            <w:r>
              <w:rPr>
                <w:rFonts w:hint="default" w:ascii="Times New Roman" w:hAnsi="Times New Roman" w:eastAsia="宋体" w:cs="Times New Roman"/>
                <w:color w:val="000000" w:themeColor="text1"/>
                <w:sz w:val="24"/>
                <w:szCs w:val="24"/>
                <w:lang w:eastAsia="zh-CN"/>
                <w14:textFill>
                  <w14:solidFill>
                    <w14:schemeClr w14:val="tx1"/>
                  </w14:solidFill>
                </w14:textFill>
              </w:rPr>
              <w:t>气</w:t>
            </w:r>
            <w:r>
              <w:rPr>
                <w:rFonts w:hint="default" w:ascii="Times New Roman" w:hAnsi="Times New Roman" w:eastAsia="宋体" w:cs="Times New Roman"/>
                <w:color w:val="000000" w:themeColor="text1"/>
                <w:sz w:val="24"/>
                <w:szCs w:val="24"/>
                <w14:textFill>
                  <w14:solidFill>
                    <w14:schemeClr w14:val="tx1"/>
                  </w14:solidFill>
                </w14:textFill>
              </w:rPr>
              <w:t>槽蒸</w:t>
            </w:r>
            <w:r>
              <w:rPr>
                <w:rFonts w:hint="default" w:ascii="Times New Roman" w:hAnsi="Times New Roman" w:eastAsia="宋体" w:cs="Times New Roman"/>
                <w:color w:val="000000" w:themeColor="text1"/>
                <w:sz w:val="24"/>
                <w:szCs w:val="24"/>
                <w:lang w:eastAsia="zh-CN"/>
                <w14:textFill>
                  <w14:solidFill>
                    <w14:schemeClr w14:val="tx1"/>
                  </w14:solidFill>
                </w14:textFill>
              </w:rPr>
              <w:t>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冷却和分切：</w:t>
            </w:r>
            <w:r>
              <w:rPr>
                <w:rFonts w:hint="default" w:ascii="Times New Roman" w:hAnsi="Times New Roman" w:eastAsia="宋体" w:cs="Times New Roman"/>
                <w:color w:val="000000" w:themeColor="text1"/>
                <w:sz w:val="24"/>
                <w:szCs w:val="24"/>
                <w14:textFill>
                  <w14:solidFill>
                    <w14:schemeClr w14:val="tx1"/>
                  </w14:solidFill>
                </w14:textFill>
              </w:rPr>
              <w:t>把成品</w:t>
            </w:r>
            <w:r>
              <w:rPr>
                <w:rFonts w:hint="eastAsia" w:cs="Times New Roman"/>
                <w:color w:val="000000" w:themeColor="text1"/>
                <w:sz w:val="24"/>
                <w:szCs w:val="24"/>
                <w:lang w:val="en-US" w:eastAsia="zh-CN"/>
                <w14:textFill>
                  <w14:solidFill>
                    <w14:schemeClr w14:val="tx1"/>
                  </w14:solidFill>
                </w14:textFill>
              </w:rPr>
              <w:t>米粉</w:t>
            </w:r>
            <w:r>
              <w:rPr>
                <w:rFonts w:hint="default" w:ascii="Times New Roman" w:hAnsi="Times New Roman" w:eastAsia="宋体" w:cs="Times New Roman"/>
                <w:color w:val="000000" w:themeColor="text1"/>
                <w:sz w:val="24"/>
                <w:szCs w:val="24"/>
                <w14:textFill>
                  <w14:solidFill>
                    <w14:schemeClr w14:val="tx1"/>
                  </w14:solidFill>
                </w14:textFill>
              </w:rPr>
              <w:t>均匀分布在不锈钢运输带，</w:t>
            </w:r>
            <w:r>
              <w:rPr>
                <w:rFonts w:hint="eastAsia" w:cs="Times New Roman"/>
                <w:color w:val="000000" w:themeColor="text1"/>
                <w:sz w:val="24"/>
                <w:szCs w:val="24"/>
                <w:lang w:eastAsia="zh-CN"/>
                <w14:textFill>
                  <w14:solidFill>
                    <w14:schemeClr w14:val="tx1"/>
                  </w14:solidFill>
                </w14:textFill>
              </w:rPr>
              <w:t>通过</w:t>
            </w:r>
            <w:r>
              <w:rPr>
                <w:rFonts w:hint="default" w:ascii="Times New Roman" w:hAnsi="Times New Roman" w:eastAsia="宋体" w:cs="Times New Roman"/>
                <w:color w:val="000000" w:themeColor="text1"/>
                <w:sz w:val="24"/>
                <w:szCs w:val="24"/>
                <w14:textFill>
                  <w14:solidFill>
                    <w14:schemeClr w14:val="tx1"/>
                  </w14:solidFill>
                </w14:textFill>
              </w:rPr>
              <w:t>外部风机进行</w:t>
            </w:r>
            <w:r>
              <w:rPr>
                <w:rFonts w:hint="default" w:ascii="Times New Roman" w:hAnsi="Times New Roman" w:eastAsia="宋体" w:cs="Times New Roman"/>
                <w:color w:val="000000" w:themeColor="text1"/>
                <w:sz w:val="24"/>
                <w:szCs w:val="24"/>
                <w:lang w:eastAsia="zh-CN"/>
                <w14:textFill>
                  <w14:solidFill>
                    <w14:schemeClr w14:val="tx1"/>
                  </w14:solidFill>
                </w14:textFill>
              </w:rPr>
              <w:t>风干</w:t>
            </w:r>
            <w:r>
              <w:rPr>
                <w:rFonts w:hint="default" w:ascii="Times New Roman" w:hAnsi="Times New Roman" w:eastAsia="宋体" w:cs="Times New Roman"/>
                <w:color w:val="000000" w:themeColor="text1"/>
                <w:sz w:val="24"/>
                <w:szCs w:val="24"/>
                <w14:textFill>
                  <w14:solidFill>
                    <w14:schemeClr w14:val="tx1"/>
                  </w14:solidFill>
                </w14:textFill>
              </w:rPr>
              <w:t>冷却</w:t>
            </w:r>
            <w:r>
              <w:rPr>
                <w:rFonts w:hint="default" w:ascii="Times New Roman" w:hAnsi="Times New Roman" w:eastAsia="宋体" w:cs="Times New Roman"/>
                <w:color w:val="000000" w:themeColor="text1"/>
                <w:sz w:val="24"/>
                <w:szCs w:val="24"/>
                <w:lang w:eastAsia="zh-CN"/>
                <w14:textFill>
                  <w14:solidFill>
                    <w14:schemeClr w14:val="tx1"/>
                  </w14:solidFill>
                </w14:textFill>
              </w:rPr>
              <w:t>，然后进行</w:t>
            </w:r>
            <w:r>
              <w:rPr>
                <w:rFonts w:hint="default" w:ascii="Times New Roman" w:hAnsi="Times New Roman" w:eastAsia="宋体" w:cs="Times New Roman"/>
                <w:color w:val="000000" w:themeColor="text1"/>
                <w:sz w:val="24"/>
                <w:lang w:eastAsia="zh-CN"/>
                <w14:textFill>
                  <w14:solidFill>
                    <w14:schemeClr w14:val="tx1"/>
                  </w14:solidFill>
                </w14:textFill>
              </w:rPr>
              <w:t>定长</w:t>
            </w:r>
            <w:r>
              <w:rPr>
                <w:rFonts w:hint="default" w:ascii="Times New Roman" w:hAnsi="Times New Roman" w:eastAsia="宋体" w:cs="Times New Roman"/>
                <w:color w:val="000000" w:themeColor="text1"/>
                <w:sz w:val="24"/>
                <w14:textFill>
                  <w14:solidFill>
                    <w14:schemeClr w14:val="tx1"/>
                  </w14:solidFill>
                </w14:textFill>
              </w:rPr>
              <w:t>剪断，并将散乱纽结的粉丝梳理整齐。</w:t>
            </w:r>
          </w:p>
          <w:p>
            <w:pPr>
              <w:pStyle w:val="42"/>
              <w:spacing w:line="360" w:lineRule="auto"/>
              <w:ind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质检、包装</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切断</w:t>
            </w:r>
            <w:r>
              <w:rPr>
                <w:rFonts w:hint="default" w:ascii="Times New Roman" w:hAnsi="Times New Roman" w:eastAsia="宋体" w:cs="Times New Roman"/>
                <w:color w:val="000000" w:themeColor="text1"/>
                <w:sz w:val="24"/>
                <w14:textFill>
                  <w14:solidFill>
                    <w14:schemeClr w14:val="tx1"/>
                  </w14:solidFill>
                </w14:textFill>
              </w:rPr>
              <w:t>后的粉</w:t>
            </w:r>
            <w:r>
              <w:rPr>
                <w:rFonts w:hint="default" w:ascii="Times New Roman" w:hAnsi="Times New Roman" w:eastAsia="宋体" w:cs="Times New Roman"/>
                <w:color w:val="000000" w:themeColor="text1"/>
                <w:sz w:val="24"/>
                <w:lang w:eastAsia="zh-CN"/>
                <w14:textFill>
                  <w14:solidFill>
                    <w14:schemeClr w14:val="tx1"/>
                  </w14:solidFill>
                </w14:textFill>
              </w:rPr>
              <w:t>丝进行质检，合格后</w:t>
            </w:r>
            <w:r>
              <w:rPr>
                <w:rFonts w:hint="default" w:ascii="Times New Roman" w:hAnsi="Times New Roman" w:eastAsia="宋体" w:cs="Times New Roman"/>
                <w:color w:val="000000" w:themeColor="text1"/>
                <w:sz w:val="24"/>
                <w14:textFill>
                  <w14:solidFill>
                    <w14:schemeClr w14:val="tx1"/>
                  </w14:solidFill>
                </w14:textFill>
              </w:rPr>
              <w:t>分别定量称取粉丝装入包装袋中，然后用自动封口机封口，即为成品。将封口后的粉袋暂存成品仓库，整齐排裂，以免压断</w:t>
            </w:r>
            <w:r>
              <w:rPr>
                <w:rFonts w:hint="default" w:ascii="Times New Roman" w:hAnsi="Times New Roman" w:eastAsia="宋体" w:cs="Times New Roman"/>
                <w:color w:val="000000" w:themeColor="text1"/>
                <w:sz w:val="24"/>
                <w:lang w:eastAsia="zh-CN"/>
                <w14:textFill>
                  <w14:solidFill>
                    <w14:schemeClr w14:val="tx1"/>
                  </w14:solidFill>
                </w14:textFill>
              </w:rPr>
              <w:t>，最后定时外售。</w:t>
            </w:r>
          </w:p>
          <w:p>
            <w:pPr>
              <w:widowControl w:val="0"/>
              <w:kinsoku/>
              <w:overflowPunct w:val="0"/>
              <w:topLinePunct/>
              <w:adjustRightInd/>
              <w:snapToGrid/>
              <w:spacing w:line="360" w:lineRule="auto"/>
              <w:ind w:firstLine="510" w:firstLineChars="200"/>
              <w:textAlignment w:val="center"/>
              <w:rPr>
                <w:rFonts w:hint="default" w:ascii="Times New Roman" w:hAnsi="Times New Roman" w:eastAsia="宋体" w:cs="Times New Roman"/>
                <w:b/>
                <w:bCs/>
                <w:color w:val="000000" w:themeColor="text1"/>
                <w:spacing w:val="7"/>
                <w:sz w:val="24"/>
                <w:szCs w:val="24"/>
                <w14:textFill>
                  <w14:solidFill>
                    <w14:schemeClr w14:val="tx1"/>
                  </w14:solidFill>
                </w14:textFill>
              </w:rPr>
            </w:pPr>
            <w:r>
              <w:rPr>
                <w:rFonts w:hint="default" w:ascii="Times New Roman" w:hAnsi="Times New Roman" w:eastAsia="宋体" w:cs="Times New Roman"/>
                <w:b/>
                <w:bCs/>
                <w:color w:val="000000" w:themeColor="text1"/>
                <w:spacing w:val="7"/>
                <w:sz w:val="24"/>
                <w:szCs w:val="24"/>
                <w14:textFill>
                  <w14:solidFill>
                    <w14:schemeClr w14:val="tx1"/>
                  </w14:solidFill>
                </w14:textFill>
              </w:rPr>
              <w:t>3、营运期产污环节</w:t>
            </w:r>
          </w:p>
          <w:p>
            <w:pPr>
              <w:tabs>
                <w:tab w:val="left" w:pos="630"/>
              </w:tabs>
              <w:spacing w:line="360" w:lineRule="auto"/>
              <w:ind w:firstLine="540" w:firstLineChars="196"/>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18"/>
                <w:sz w:val="24"/>
                <w:szCs w:val="24"/>
                <w14:textFill>
                  <w14:solidFill>
                    <w14:schemeClr w14:val="tx1"/>
                  </w14:solidFill>
                </w14:textFill>
              </w:rPr>
              <w:t>根据该项目生产流程和工程排污节点，其主要环境污染要素包括废气、废水、固废和噪声。具体见</w:t>
            </w:r>
            <w:r>
              <w:rPr>
                <w:rFonts w:hint="default" w:ascii="Times New Roman" w:hAnsi="Times New Roman" w:eastAsia="宋体" w:cs="Times New Roman"/>
                <w:color w:val="000000" w:themeColor="text1"/>
                <w:spacing w:val="18"/>
                <w:sz w:val="24"/>
                <w:szCs w:val="24"/>
                <w:lang w:val="en-US" w:eastAsia="zh-CN"/>
                <w14:textFill>
                  <w14:solidFill>
                    <w14:schemeClr w14:val="tx1"/>
                  </w14:solidFill>
                </w14:textFill>
              </w:rPr>
              <w:t>下表：</w:t>
            </w:r>
          </w:p>
          <w:p>
            <w:pPr>
              <w:tabs>
                <w:tab w:val="left" w:pos="630"/>
              </w:tabs>
              <w:jc w:val="center"/>
              <w:rPr>
                <w:rFonts w:hint="default" w:ascii="Times New Roman" w:hAnsi="Times New Roman" w:eastAsia="宋体" w:cs="Times New Roman"/>
                <w:b/>
                <w:color w:val="000000" w:themeColor="text1"/>
                <w:sz w:val="24"/>
                <w14:textFill>
                  <w14:solidFill>
                    <w14:schemeClr w14:val="tx1"/>
                  </w14:solidFill>
                </w14:textFill>
              </w:rPr>
            </w:pPr>
            <w:bookmarkStart w:id="40" w:name="_Ref4967023"/>
            <w:r>
              <w:rPr>
                <w:rFonts w:hint="default" w:ascii="Times New Roman" w:hAnsi="Times New Roman" w:eastAsia="宋体" w:cs="Times New Roman"/>
                <w:b/>
                <w:color w:val="000000" w:themeColor="text1"/>
                <w:sz w:val="24"/>
                <w14:textFill>
                  <w14:solidFill>
                    <w14:schemeClr w14:val="tx1"/>
                  </w14:solidFill>
                </w14:textFill>
              </w:rPr>
              <w:t>表2-</w:t>
            </w:r>
            <w:r>
              <w:rPr>
                <w:rFonts w:hint="default" w:ascii="Times New Roman" w:hAnsi="Times New Roman" w:eastAsia="宋体" w:cs="Times New Roman"/>
                <w:b/>
                <w:color w:val="000000" w:themeColor="text1"/>
                <w:sz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14:textFill>
                  <w14:solidFill>
                    <w14:schemeClr w14:val="tx1"/>
                  </w14:solidFill>
                </w14:textFill>
              </w:rPr>
              <w:t xml:space="preserve">  主要污染工序一览表</w:t>
            </w:r>
            <w:bookmarkEnd w:id="40"/>
          </w:p>
          <w:tbl>
            <w:tblPr>
              <w:tblStyle w:val="33"/>
              <w:tblW w:w="498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721"/>
              <w:gridCol w:w="2478"/>
              <w:gridCol w:w="2876"/>
              <w:gridCol w:w="16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时段</w:t>
                  </w:r>
                </w:p>
              </w:tc>
              <w:tc>
                <w:tcPr>
                  <w:tcW w:w="440" w:type="pct"/>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污染因子</w:t>
                  </w:r>
                </w:p>
              </w:tc>
              <w:tc>
                <w:tcPr>
                  <w:tcW w:w="1512" w:type="pct"/>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来源</w:t>
                  </w:r>
                </w:p>
              </w:tc>
              <w:tc>
                <w:tcPr>
                  <w:tcW w:w="1755" w:type="pct"/>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污染物种类</w:t>
                  </w:r>
                </w:p>
              </w:tc>
              <w:tc>
                <w:tcPr>
                  <w:tcW w:w="984" w:type="pct"/>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排放方式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运营期</w:t>
                  </w:r>
                </w:p>
              </w:tc>
              <w:tc>
                <w:tcPr>
                  <w:tcW w:w="440"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废水</w:t>
                  </w:r>
                </w:p>
              </w:tc>
              <w:tc>
                <w:tcPr>
                  <w:tcW w:w="1512" w:type="pct"/>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洗米浸泡工序、车间及设备清洗</w:t>
                  </w:r>
                </w:p>
              </w:tc>
              <w:tc>
                <w:tcPr>
                  <w:tcW w:w="1755"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COD、SS、BOD</w:t>
                  </w:r>
                  <w:r>
                    <w:rPr>
                      <w:rFonts w:hint="default" w:ascii="Times New Roman" w:hAnsi="Times New Roman" w:eastAsia="宋体" w:cs="Times New Roman"/>
                      <w:color w:val="000000" w:themeColor="text1"/>
                      <w:kern w:val="0"/>
                      <w:szCs w:val="21"/>
                      <w:vertAlign w:val="subscript"/>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等</w:t>
                  </w:r>
                </w:p>
              </w:tc>
              <w:tc>
                <w:tcPr>
                  <w:tcW w:w="984" w:type="pct"/>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lang w:val="en-US" w:eastAsia="zh-CN"/>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生活污水</w:t>
                  </w:r>
                </w:p>
              </w:tc>
              <w:tc>
                <w:tcPr>
                  <w:tcW w:w="1755"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COD、SS、BOD</w:t>
                  </w:r>
                  <w:r>
                    <w:rPr>
                      <w:rFonts w:hint="default" w:ascii="Times New Roman" w:hAnsi="Times New Roman" w:eastAsia="宋体" w:cs="Times New Roman"/>
                      <w:color w:val="000000" w:themeColor="text1"/>
                      <w:kern w:val="0"/>
                      <w:szCs w:val="21"/>
                      <w:vertAlign w:val="subscript"/>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等</w:t>
                  </w:r>
                </w:p>
              </w:tc>
              <w:tc>
                <w:tcPr>
                  <w:tcW w:w="984"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lang w:val="en-US" w:eastAsia="zh-CN"/>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软水制备器反冲洗废水</w:t>
                  </w:r>
                </w:p>
              </w:tc>
              <w:tc>
                <w:tcPr>
                  <w:tcW w:w="1755"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属于清净下水</w:t>
                  </w:r>
                </w:p>
              </w:tc>
              <w:tc>
                <w:tcPr>
                  <w:tcW w:w="98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1512"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车间异味（G1）</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臭气浓度</w:t>
                  </w:r>
                </w:p>
              </w:tc>
              <w:tc>
                <w:tcPr>
                  <w:tcW w:w="984" w:type="pct"/>
                  <w:vMerge w:val="restar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投料工序（G2）</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984" w:type="pct"/>
                  <w:vMerge w:val="continue"/>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燃烧废气（G3）</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、二氧化硫、氮氧化物</w:t>
                  </w:r>
                </w:p>
              </w:tc>
              <w:tc>
                <w:tcPr>
                  <w:tcW w:w="984" w:type="pct"/>
                  <w:vMerge w:val="continue"/>
                  <w:tcBorders>
                    <w:bottom w:val="single" w:color="auto" w:sz="4" w:space="0"/>
                  </w:tcBorders>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污水处理站（G4）</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硫化氢、氨气</w:t>
                  </w:r>
                </w:p>
              </w:tc>
              <w:tc>
                <w:tcPr>
                  <w:tcW w:w="984" w:type="pct"/>
                  <w:tcBorders>
                    <w:top w:val="single" w:color="auto" w:sz="4" w:space="0"/>
                  </w:tcBorders>
                  <w:vAlign w:val="center"/>
                </w:tcPr>
                <w:p>
                  <w:pPr>
                    <w:pStyle w:val="9"/>
                    <w:snapToGrid w:val="0"/>
                    <w:ind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连续排放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噪声</w:t>
                  </w:r>
                </w:p>
              </w:tc>
              <w:tc>
                <w:tcPr>
                  <w:tcW w:w="1512"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机械设备</w:t>
                  </w:r>
                </w:p>
              </w:tc>
              <w:tc>
                <w:tcPr>
                  <w:tcW w:w="1755"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噪声</w:t>
                  </w:r>
                </w:p>
              </w:tc>
              <w:tc>
                <w:tcPr>
                  <w:tcW w:w="984" w:type="pc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每天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固体废物</w:t>
                  </w:r>
                </w:p>
              </w:tc>
              <w:tc>
                <w:tcPr>
                  <w:tcW w:w="1512"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加工工序</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边角料、不合格品、废包装袋</w:t>
                  </w:r>
                </w:p>
              </w:tc>
              <w:tc>
                <w:tcPr>
                  <w:tcW w:w="984"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pStyle w:val="9"/>
                    <w:tabs>
                      <w:tab w:val="left" w:pos="511"/>
                      <w:tab w:val="center" w:pos="790"/>
                    </w:tabs>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蒸汽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14:textFill>
                        <w14:solidFill>
                          <w14:schemeClr w14:val="tx1"/>
                        </w14:solidFill>
                      </w14:textFill>
                    </w:rPr>
                    <w:t>燃烧</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灰渣</w:t>
                  </w:r>
                </w:p>
              </w:tc>
              <w:tc>
                <w:tcPr>
                  <w:tcW w:w="984"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6"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40"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512"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废气处理设施</w:t>
                  </w:r>
                </w:p>
              </w:tc>
              <w:tc>
                <w:tcPr>
                  <w:tcW w:w="1755" w:type="pct"/>
                  <w:vAlign w:val="center"/>
                </w:tcPr>
                <w:p>
                  <w:pPr>
                    <w:pStyle w:val="9"/>
                    <w:snapToGrid w:val="0"/>
                    <w:ind w:firstLine="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w:t>
                  </w: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p>
              </w:tc>
              <w:tc>
                <w:tcPr>
                  <w:tcW w:w="984" w:type="pct"/>
                  <w:vAlign w:val="center"/>
                </w:tcPr>
                <w:p>
                  <w:pPr>
                    <w:pStyle w:val="9"/>
                    <w:snapToGrid w:val="0"/>
                    <w:ind w:firstLine="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间歇排放</w:t>
                  </w:r>
                </w:p>
              </w:tc>
            </w:tr>
          </w:tbl>
          <w:p>
            <w:pPr>
              <w:pStyle w:val="42"/>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55" w:type="dxa"/>
            <w:vAlign w:val="center"/>
          </w:tcPr>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8441" w:type="dxa"/>
            <w:vAlign w:val="center"/>
          </w:tcPr>
          <w:p>
            <w:pPr>
              <w:tabs>
                <w:tab w:val="left" w:pos="630"/>
              </w:tabs>
              <w:spacing w:line="360" w:lineRule="auto"/>
              <w:ind w:firstLine="411" w:firstLineChars="1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w:t>
            </w:r>
            <w:r>
              <w:rPr>
                <w:rFonts w:hint="default" w:ascii="Times New Roman" w:hAnsi="Times New Roman" w:eastAsia="宋体" w:cs="Times New Roman"/>
                <w:color w:val="000000" w:themeColor="text1"/>
                <w:spacing w:val="18"/>
                <w:sz w:val="24"/>
                <w:szCs w:val="24"/>
                <w:lang w:val="en-US" w:eastAsia="zh-CN"/>
                <w14:textFill>
                  <w14:solidFill>
                    <w14:schemeClr w14:val="tx1"/>
                  </w14:solidFill>
                </w14:textFill>
              </w:rPr>
              <w:t>项目位于</w:t>
            </w:r>
            <w:r>
              <w:rPr>
                <w:rFonts w:hint="eastAsia" w:cs="Times New Roman"/>
                <w:color w:val="000000" w:themeColor="text1"/>
                <w:spacing w:val="18"/>
                <w:sz w:val="24"/>
                <w:szCs w:val="24"/>
                <w:lang w:val="en-US" w:eastAsia="zh-CN"/>
                <w14:textFill>
                  <w14:solidFill>
                    <w14:schemeClr w14:val="tx1"/>
                  </w14:solidFill>
                </w14:textFill>
              </w:rPr>
              <w:t>柳州市鹿寨县中渡镇马安村下拉屯</w:t>
            </w:r>
            <w:r>
              <w:rPr>
                <w:rFonts w:hint="default" w:ascii="Times New Roman" w:hAnsi="Times New Roman" w:eastAsia="宋体" w:cs="Times New Roman"/>
                <w:color w:val="000000" w:themeColor="text1"/>
                <w:spacing w:val="18"/>
                <w:sz w:val="24"/>
                <w:szCs w:val="24"/>
                <w14:textFill>
                  <w14:solidFill>
                    <w14:schemeClr w14:val="tx1"/>
                  </w14:solidFill>
                </w14:textFill>
              </w:rPr>
              <w:t>。根据</w:t>
            </w:r>
            <w:r>
              <w:rPr>
                <w:rFonts w:hint="eastAsia" w:cs="Times New Roman"/>
                <w:color w:val="000000" w:themeColor="text1"/>
                <w:spacing w:val="18"/>
                <w:sz w:val="24"/>
                <w:szCs w:val="24"/>
                <w:lang w:eastAsia="zh-CN"/>
                <w14:textFill>
                  <w14:solidFill>
                    <w14:schemeClr w14:val="tx1"/>
                  </w14:solidFill>
                </w14:textFill>
              </w:rPr>
              <w:t>现场勘查</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目前</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尚未建设</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kern w:val="0"/>
                <w:sz w:val="24"/>
                <w:szCs w:val="24"/>
                <w:lang w:val="en-US" w:eastAsia="zh-CN" w:bidi="ar"/>
              </w:rPr>
              <w:t>为新建项目，不存与项目有关</w:t>
            </w:r>
            <w:r>
              <w:rPr>
                <w:rFonts w:hint="eastAsia"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原有环境污染问题。</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p>
        </w:tc>
      </w:tr>
    </w:tbl>
    <w:p>
      <w:pPr>
        <w:pStyle w:val="28"/>
        <w:jc w:val="center"/>
        <w:rPr>
          <w:rFonts w:hint="default" w:ascii="Times New Roman" w:hAnsi="Times New Roman" w:eastAsia="宋体" w:cs="Times New Roman"/>
          <w:snapToGrid w:val="0"/>
          <w:color w:val="000000" w:themeColor="text1"/>
          <w:sz w:val="36"/>
          <w:szCs w:val="36"/>
          <w14:textFill>
            <w14:solidFill>
              <w14:schemeClr w14:val="tx1"/>
            </w14:solidFill>
          </w14:textFill>
        </w:rPr>
        <w:sectPr>
          <w:footerReference r:id="rId7" w:type="default"/>
          <w:pgSz w:w="11906" w:h="16838"/>
          <w:pgMar w:top="1417" w:right="1531" w:bottom="1417" w:left="1587" w:header="851" w:footer="850" w:gutter="0"/>
          <w:pgNumType w:fmt="numberInDash"/>
          <w:cols w:space="720" w:num="1"/>
          <w:docGrid w:linePitch="312" w:charSpace="0"/>
        </w:sectPr>
      </w:pPr>
    </w:p>
    <w:p>
      <w:pPr>
        <w:widowControl/>
        <w:spacing w:after="120"/>
        <w:ind w:left="1"/>
        <w:jc w:val="left"/>
        <w:outlineLvl w:val="0"/>
        <w:rPr>
          <w:rFonts w:hint="default" w:ascii="Times New Roman" w:hAnsi="Times New Roman" w:eastAsia="宋体" w:cs="Times New Roman"/>
          <w:b/>
          <w:color w:val="000000" w:themeColor="text1"/>
          <w:sz w:val="30"/>
          <w14:textFill>
            <w14:solidFill>
              <w14:schemeClr w14:val="tx1"/>
            </w14:solidFill>
          </w14:textFill>
        </w:rPr>
      </w:pPr>
      <w:bookmarkStart w:id="41" w:name="_Toc8493"/>
      <w:r>
        <w:rPr>
          <w:rFonts w:hint="default" w:ascii="Times New Roman" w:hAnsi="Times New Roman" w:eastAsia="宋体" w:cs="Times New Roman"/>
          <w:b/>
          <w:color w:val="000000" w:themeColor="text1"/>
          <w:sz w:val="30"/>
          <w14:textFill>
            <w14:solidFill>
              <w14:schemeClr w14:val="tx1"/>
            </w14:solidFill>
          </w14:textFill>
        </w:rPr>
        <w:t>三、区域环境质量现状、环境保护目标及评价标准</w:t>
      </w:r>
      <w:bookmarkEnd w:id="41"/>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60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6" w:hRule="atLeast"/>
          <w:jc w:val="center"/>
        </w:trPr>
        <w:tc>
          <w:tcPr>
            <w:tcW w:w="244" w:type="pct"/>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区域</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质量</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现状</w:t>
            </w:r>
          </w:p>
        </w:tc>
        <w:tc>
          <w:tcPr>
            <w:tcW w:w="4755" w:type="pct"/>
            <w:vAlign w:val="center"/>
          </w:tcPr>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1、大气环境质量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u w:val="none"/>
              </w:rPr>
            </w:pPr>
            <w:r>
              <w:rPr>
                <w:rFonts w:hint="eastAsia"/>
                <w:b/>
                <w:bCs/>
                <w:color w:val="auto"/>
                <w:sz w:val="24"/>
                <w:szCs w:val="24"/>
                <w:highlight w:val="none"/>
                <w:u w:val="none"/>
                <w:lang w:val="en-US" w:eastAsia="zh-CN"/>
              </w:rPr>
              <w:t>1、</w:t>
            </w:r>
            <w:r>
              <w:rPr>
                <w:rFonts w:hint="eastAsia"/>
                <w:b/>
                <w:bCs/>
                <w:color w:val="auto"/>
                <w:sz w:val="24"/>
                <w:szCs w:val="24"/>
                <w:highlight w:val="none"/>
                <w:u w:val="none"/>
              </w:rPr>
              <w:t>环境空气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u w:val="none"/>
              </w:rPr>
            </w:pPr>
            <w:r>
              <w:rPr>
                <w:rFonts w:hint="eastAsia"/>
                <w:color w:val="auto"/>
                <w:sz w:val="24"/>
                <w:szCs w:val="24"/>
                <w:highlight w:val="none"/>
                <w:u w:val="none"/>
              </w:rPr>
              <w:t>（1）大气环境质量现状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u w:val="none"/>
                <w:vertAlign w:val="baseline"/>
                <w:lang w:eastAsia="zh-CN"/>
              </w:rPr>
            </w:pPr>
            <w:r>
              <w:rPr>
                <w:color w:val="auto"/>
                <w:sz w:val="24"/>
                <w:szCs w:val="24"/>
                <w:highlight w:val="none"/>
                <w:u w:val="none"/>
              </w:rPr>
              <w:t>根据《环境影响评价技术导则 大气环境》（HJ2.2-2018）要求，本次大气环境质量现状数据来源于</w:t>
            </w:r>
            <w:r>
              <w:rPr>
                <w:rFonts w:hint="eastAsia" w:cs="Times New Roman"/>
                <w:color w:val="auto"/>
                <w:sz w:val="24"/>
                <w:szCs w:val="24"/>
                <w:highlight w:val="none"/>
                <w:u w:val="none"/>
                <w:lang w:val="en-US" w:eastAsia="zh-CN"/>
              </w:rPr>
              <w:t>广西壮族自治区</w:t>
            </w:r>
            <w:r>
              <w:rPr>
                <w:rFonts w:hint="eastAsia" w:ascii="Times New Roman" w:hAnsi="Times New Roman" w:eastAsia="宋体" w:cs="Times New Roman"/>
                <w:color w:val="auto"/>
                <w:sz w:val="24"/>
                <w:szCs w:val="24"/>
                <w:highlight w:val="none"/>
                <w:u w:val="none"/>
              </w:rPr>
              <w:t>生态环境</w:t>
            </w:r>
            <w:r>
              <w:rPr>
                <w:rFonts w:hint="eastAsia" w:cs="Times New Roman"/>
                <w:color w:val="auto"/>
                <w:sz w:val="24"/>
                <w:szCs w:val="24"/>
                <w:highlight w:val="none"/>
                <w:u w:val="none"/>
                <w:lang w:val="en-US" w:eastAsia="zh-CN"/>
              </w:rPr>
              <w:t>厅</w:t>
            </w:r>
            <w:r>
              <w:rPr>
                <w:rFonts w:hint="eastAsia" w:ascii="Times New Roman" w:hAnsi="Times New Roman" w:eastAsia="宋体" w:cs="Times New Roman"/>
                <w:color w:val="auto"/>
                <w:sz w:val="24"/>
                <w:szCs w:val="24"/>
                <w:highlight w:val="none"/>
                <w:u w:val="none"/>
              </w:rPr>
              <w:t>网站公布</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的《自治区生态环境厅关于通报2023年设区市及各县（市、区）环境空气质量的函》（桂环函[2024]58号），鹿寨县环境空气质量监测项目中二氧化硫年均浓度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，二氧化氮年均浓度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，可吸入颗粒物（PM</w:t>
            </w:r>
            <w:r>
              <w:rPr>
                <w:rFonts w:hint="eastAsia" w:ascii="Times New Roman" w:hAnsi="Times New Roman" w:eastAsia="宋体" w:cs="Times New Roman"/>
                <w:color w:val="000000" w:themeColor="text1"/>
                <w:sz w:val="24"/>
                <w:szCs w:val="24"/>
                <w:highlight w:val="none"/>
                <w:u w:val="none"/>
                <w:vertAlign w:val="subscript"/>
                <w14:textFill>
                  <w14:solidFill>
                    <w14:schemeClr w14:val="tx1"/>
                  </w14:solidFill>
                </w14:textFill>
              </w:rPr>
              <w:t>10</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）年均浓度4</w:t>
            </w:r>
            <w:r>
              <w:rPr>
                <w:rFonts w:hint="eastAsia" w:cs="Times New Roman"/>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，一氧化碳24小时平均第95百位数1.0µg/m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cs="Times New Roman"/>
                <w:color w:val="000000" w:themeColor="text1"/>
                <w:sz w:val="24"/>
                <w:szCs w:val="24"/>
                <w:highlight w:val="none"/>
                <w:u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臭氧日最大8小时滑动平均值的第90百位数为1</w:t>
            </w:r>
            <w:r>
              <w:rPr>
                <w:rFonts w:hint="eastAsia" w:cs="Times New Roman"/>
                <w:color w:val="000000" w:themeColor="text1"/>
                <w:sz w:val="24"/>
                <w:szCs w:val="24"/>
                <w:highlight w:val="none"/>
                <w:u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，细颗粒物（PM</w:t>
            </w:r>
            <w:r>
              <w:rPr>
                <w:rFonts w:hint="eastAsia" w:ascii="Times New Roman" w:hAnsi="Times New Roman" w:eastAsia="宋体" w:cs="Times New Roman"/>
                <w:color w:val="000000" w:themeColor="text1"/>
                <w:sz w:val="24"/>
                <w:szCs w:val="24"/>
                <w:highlight w:val="none"/>
                <w:u w:val="none"/>
                <w:vertAlign w:val="subscript"/>
                <w14:textFill>
                  <w14:solidFill>
                    <w14:schemeClr w14:val="tx1"/>
                  </w14:solidFill>
                </w14:textFill>
              </w:rPr>
              <w:t>2.5</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）年均浓度</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w:t>
            </w:r>
            <w:r>
              <w:rPr>
                <w:rFonts w:hint="eastAsia" w:cs="Times New Roman"/>
                <w:color w:val="000000" w:themeColor="text1"/>
                <w:sz w:val="24"/>
                <w:szCs w:val="24"/>
                <w:highlight w:val="none"/>
                <w:u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µg/m</w:t>
            </w:r>
            <w:r>
              <w:rPr>
                <w:rFonts w:hint="eastAsia"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eastAsia" w:cs="Times New Roman"/>
                <w:color w:val="000000" w:themeColor="text1"/>
                <w:sz w:val="24"/>
                <w:szCs w:val="24"/>
                <w:highlight w:val="none"/>
                <w:u w:val="none"/>
                <w:vertAlign w:val="baseline"/>
                <w:lang w:eastAsia="zh-CN"/>
                <w14:textFill>
                  <w14:solidFill>
                    <w14:schemeClr w14:val="tx1"/>
                  </w14:solidFill>
                </w14:textFill>
              </w:rPr>
              <w:t>。</w:t>
            </w:r>
          </w:p>
          <w:p>
            <w:pPr>
              <w:pStyle w:val="7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Times New Roman" w:hAnsi="Times New Roman" w:eastAsia="宋体" w:cs="Times New Roman"/>
                <w:b w:val="0"/>
                <w:bCs w:val="0"/>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shd w:val="clear" w:color="auto" w:fill="auto"/>
                <w:lang w:val="en-US" w:eastAsia="zh-CN" w:bidi="ar-SA"/>
                <w14:textFill>
                  <w14:solidFill>
                    <w14:schemeClr w14:val="tx1"/>
                  </w14:solidFill>
                </w14:textFill>
              </w:rPr>
              <w:t>根据《环境影响评价技术导则 大气环境》（HJ2.2-2018）中6.4.1.1 的判定依据，判定本项目所在区域鹿寨县为达标区。</w:t>
            </w:r>
          </w:p>
          <w:p>
            <w:pPr>
              <w:pStyle w:val="7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0"/>
              <w:jc w:val="both"/>
              <w:textAlignment w:val="auto"/>
              <w:rPr>
                <w:rFonts w:hint="eastAsia" w:ascii="Times New Roman" w:hAnsi="Times New Roman" w:eastAsia="宋体" w:cs="Times New Roman"/>
                <w:b w:val="0"/>
                <w:bCs w:val="0"/>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shd w:val="clear" w:fill="auto"/>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highlight w:val="none"/>
                <w:u w:val="none"/>
                <w:shd w:val="clear" w:color="auto" w:fill="auto"/>
                <w:lang w:val="en-US" w:eastAsia="zh-CN" w:bidi="ar-SA"/>
                <w14:textFill>
                  <w14:solidFill>
                    <w14:schemeClr w14:val="tx1"/>
                  </w14:solidFill>
                </w14:textFill>
              </w:rPr>
              <w:t>区域本项目特征污染物现状监测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为进一步了解项目所在区域环境质量现状，委托</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广西德润环保科技有限公司</w:t>
            </w: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对本项目所在区域</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的</w:t>
            </w:r>
            <w:r>
              <w:rPr>
                <w:rFonts w:hint="eastAsia" w:cs="Times New Roman"/>
                <w:color w:val="000000" w:themeColor="text1"/>
                <w:kern w:val="2"/>
                <w:sz w:val="24"/>
                <w:szCs w:val="24"/>
                <w:highlight w:val="none"/>
                <w:u w:val="none"/>
                <w:shd w:val="clear" w:color="auto" w:fill="auto"/>
                <w:lang w:val="en-US" w:eastAsia="zh-CN" w:bidi="ar-SA"/>
                <w14:textFill>
                  <w14:solidFill>
                    <w14:schemeClr w14:val="tx1"/>
                  </w14:solidFill>
                </w14:textFill>
              </w:rPr>
              <w:t>氨、硫化氢、臭气浓度</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环境空气质量监测。</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监测因子：</w:t>
            </w:r>
            <w:r>
              <w:rPr>
                <w:rFonts w:hint="eastAsia" w:cs="Times New Roman"/>
                <w:color w:val="000000" w:themeColor="text1"/>
                <w:kern w:val="2"/>
                <w:sz w:val="24"/>
                <w:szCs w:val="24"/>
                <w:highlight w:val="none"/>
                <w:u w:val="none"/>
                <w:shd w:val="clear" w:color="auto" w:fill="auto"/>
                <w:lang w:val="en-US" w:eastAsia="zh-CN" w:bidi="ar-SA"/>
                <w14:textFill>
                  <w14:solidFill>
                    <w14:schemeClr w14:val="tx1"/>
                  </w14:solidFill>
                </w14:textFill>
              </w:rPr>
              <w:t>氨、硫化氢、臭气浓度</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监测布点：设置</w:t>
            </w:r>
            <w:r>
              <w:rPr>
                <w:rFonts w:hint="eastAsia" w:cs="Times New Roman"/>
                <w:color w:val="000000" w:themeColor="text1"/>
                <w:kern w:val="2"/>
                <w:sz w:val="24"/>
                <w:szCs w:val="24"/>
                <w:highlight w:val="none"/>
                <w:u w:val="none"/>
                <w:shd w:val="clear" w:color="auto" w:fill="auto"/>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个监测点，1#项目所在地、2#项目西南侧</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监测时间与频率：监测</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天，每天监测</w:t>
            </w:r>
            <w:r>
              <w:rPr>
                <w:rFonts w:hint="eastAsia" w:cs="Times New Roman"/>
                <w:color w:val="000000" w:themeColor="text1"/>
                <w:kern w:val="2"/>
                <w:sz w:val="24"/>
                <w:szCs w:val="24"/>
                <w:highlight w:val="none"/>
                <w:u w:val="none"/>
                <w:shd w:val="clear" w:color="auto" w:fill="auto"/>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次</w:t>
            </w:r>
          </w:p>
          <w:p>
            <w:pPr>
              <w:pStyle w:val="16"/>
              <w:keepNext w:val="0"/>
              <w:keepLines w:val="0"/>
              <w:pageBreakBefore w:val="0"/>
              <w:widowControl w:val="0"/>
              <w:kinsoku/>
              <w:wordWrap/>
              <w:overflowPunct/>
              <w:topLinePunct w:val="0"/>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监测结果以及达标情况如下表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3-</w:t>
            </w:r>
            <w:r>
              <w:rPr>
                <w:rFonts w:hint="eastAsia" w:cs="Times New Roman"/>
                <w:b/>
                <w:bCs/>
                <w:kern w:val="2"/>
                <w:sz w:val="24"/>
                <w:szCs w:val="24"/>
                <w:lang w:val="en-US" w:eastAsia="zh-CN" w:bidi="ar-SA"/>
              </w:rPr>
              <w:t>1</w:t>
            </w:r>
            <w:r>
              <w:rPr>
                <w:rFonts w:hint="eastAsia" w:ascii="Times New Roman" w:hAnsi="Times New Roman" w:eastAsia="宋体" w:cs="Times New Roman"/>
                <w:b/>
                <w:bCs/>
                <w:kern w:val="2"/>
                <w:sz w:val="24"/>
                <w:szCs w:val="24"/>
                <w:lang w:val="en-US" w:eastAsia="zh-CN" w:bidi="ar-SA"/>
              </w:rPr>
              <w:t xml:space="preserve"> </w:t>
            </w:r>
            <w:r>
              <w:rPr>
                <w:rFonts w:hint="default" w:ascii="Times New Roman" w:hAnsi="Times New Roman" w:eastAsia="宋体" w:cs="Times New Roman"/>
                <w:b/>
                <w:bCs/>
                <w:kern w:val="2"/>
                <w:sz w:val="24"/>
                <w:szCs w:val="24"/>
                <w:lang w:val="en-US" w:eastAsia="zh-CN" w:bidi="ar-SA"/>
              </w:rPr>
              <w:t xml:space="preserve"> 项目所在地环境空气质量监测结果及达标情况</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602"/>
              <w:gridCol w:w="1601"/>
              <w:gridCol w:w="1628"/>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采样点位</w:t>
                  </w:r>
                </w:p>
              </w:tc>
              <w:tc>
                <w:tcPr>
                  <w:tcW w:w="9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采样日期</w:t>
                  </w:r>
                </w:p>
              </w:tc>
              <w:tc>
                <w:tcPr>
                  <w:tcW w:w="341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氨（日均值）</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硫化氢</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mg/m</w:t>
                  </w:r>
                  <w:r>
                    <w:rPr>
                      <w:rFonts w:hint="eastAsia"/>
                      <w:color w:val="000000"/>
                      <w:sz w:val="21"/>
                      <w:szCs w:val="21"/>
                      <w:u w:val="none" w:color="auto"/>
                      <w:vertAlign w:val="superscript"/>
                      <w:lang w:val="en-US" w:eastAsia="zh-CN"/>
                    </w:rPr>
                    <w:t>3</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mg/m</w:t>
                  </w:r>
                  <w:r>
                    <w:rPr>
                      <w:rFonts w:hint="eastAsia"/>
                      <w:color w:val="000000"/>
                      <w:sz w:val="21"/>
                      <w:szCs w:val="21"/>
                      <w:u w:val="none" w:color="auto"/>
                      <w:vertAlign w:val="superscript"/>
                      <w:lang w:val="en-US" w:eastAsia="zh-CN"/>
                    </w:rPr>
                    <w:t>3</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r>
                    <w:rPr>
                      <w:rFonts w:hint="eastAsia"/>
                      <w:color w:val="000000"/>
                      <w:sz w:val="21"/>
                      <w:szCs w:val="21"/>
                      <w:u w:val="none" w:color="auto"/>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0"/>
                      <w:szCs w:val="20"/>
                      <w:u w:val="none" w:color="auto"/>
                      <w:vertAlign w:val="baseline"/>
                      <w:lang w:val="en-US" w:eastAsia="zh-CN"/>
                    </w:rPr>
                  </w:pPr>
                  <w:r>
                    <w:rPr>
                      <w:rFonts w:hint="default" w:ascii="Times New Roman" w:hAnsi="Times New Roman" w:eastAsia="宋体" w:cs="Times New Roman"/>
                      <w:color w:val="000000" w:themeColor="text1"/>
                      <w:kern w:val="2"/>
                      <w:sz w:val="20"/>
                      <w:szCs w:val="20"/>
                      <w:highlight w:val="none"/>
                      <w:u w:val="none"/>
                      <w:shd w:val="clear" w:color="auto" w:fill="auto"/>
                      <w:lang w:val="en-US" w:eastAsia="zh-CN" w:bidi="ar-SA"/>
                      <w14:textFill>
                        <w14:solidFill>
                          <w14:schemeClr w14:val="tx1"/>
                        </w14:solidFill>
                      </w14:textFill>
                    </w:rPr>
                    <w:t>1#项目所在地</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2"/>
                      <w:sz w:val="21"/>
                      <w:szCs w:val="21"/>
                      <w:highlight w:val="black"/>
                      <w:u w:val="none" w:color="auto"/>
                      <w:vertAlign w:val="baseline"/>
                      <w:lang w:val="en-US" w:eastAsia="zh-CN" w:bidi="ar-SA"/>
                    </w:rPr>
                  </w:pPr>
                  <w:r>
                    <w:rPr>
                      <w:rFonts w:hint="eastAsia"/>
                      <w:color w:val="000000"/>
                      <w:sz w:val="21"/>
                      <w:szCs w:val="21"/>
                      <w:highlight w:val="black"/>
                      <w:u w:val="none" w:color="auto"/>
                      <w:vertAlign w:val="baseline"/>
                      <w:lang w:val="en-US" w:eastAsia="zh-CN"/>
                    </w:rPr>
                    <w:t>2024.01.24</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0.07</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0.003</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0"/>
                      <w:szCs w:val="20"/>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2"/>
                      <w:sz w:val="21"/>
                      <w:szCs w:val="21"/>
                      <w:highlight w:val="black"/>
                      <w:u w:val="none" w:color="auto"/>
                      <w:vertAlign w:val="baseline"/>
                      <w:lang w:val="en-US" w:eastAsia="zh-CN" w:bidi="ar-SA"/>
                    </w:rPr>
                  </w:pPr>
                  <w:r>
                    <w:rPr>
                      <w:rFonts w:hint="eastAsia"/>
                      <w:color w:val="000000"/>
                      <w:sz w:val="21"/>
                      <w:szCs w:val="21"/>
                      <w:highlight w:val="black"/>
                      <w:u w:val="none" w:color="auto"/>
                      <w:vertAlign w:val="baseline"/>
                      <w:lang w:val="en-US" w:eastAsia="zh-CN"/>
                    </w:rPr>
                    <w:t>2024.01.25</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0.06</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0.002</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0"/>
                      <w:szCs w:val="20"/>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2"/>
                      <w:sz w:val="21"/>
                      <w:szCs w:val="21"/>
                      <w:highlight w:val="black"/>
                      <w:u w:val="none" w:color="auto"/>
                      <w:vertAlign w:val="baseline"/>
                      <w:lang w:val="en-US" w:eastAsia="zh-CN" w:bidi="ar-SA"/>
                    </w:rPr>
                  </w:pPr>
                  <w:r>
                    <w:rPr>
                      <w:rFonts w:hint="eastAsia"/>
                      <w:color w:val="000000"/>
                      <w:sz w:val="21"/>
                      <w:szCs w:val="21"/>
                      <w:highlight w:val="black"/>
                      <w:u w:val="none" w:color="auto"/>
                      <w:vertAlign w:val="baseline"/>
                      <w:lang w:val="en-US" w:eastAsia="zh-CN"/>
                    </w:rPr>
                    <w:t>2024.01.26</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0.07</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0.002</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0"/>
                      <w:szCs w:val="20"/>
                      <w:u w:val="none" w:color="auto"/>
                      <w:vertAlign w:val="baseline"/>
                      <w:lang w:val="en-US" w:eastAsia="zh-CN"/>
                    </w:rPr>
                  </w:pPr>
                  <w:r>
                    <w:rPr>
                      <w:rFonts w:hint="default" w:ascii="Times New Roman" w:hAnsi="Times New Roman" w:eastAsia="宋体" w:cs="Times New Roman"/>
                      <w:color w:val="000000" w:themeColor="text1"/>
                      <w:kern w:val="2"/>
                      <w:sz w:val="20"/>
                      <w:szCs w:val="20"/>
                      <w:highlight w:val="none"/>
                      <w:u w:val="none"/>
                      <w:shd w:val="clear" w:color="auto" w:fill="auto"/>
                      <w:lang w:val="en-US" w:eastAsia="zh-CN" w:bidi="ar-SA"/>
                      <w14:textFill>
                        <w14:solidFill>
                          <w14:schemeClr w14:val="tx1"/>
                        </w14:solidFill>
                      </w14:textFill>
                    </w:rPr>
                    <w:t>2#项目西南侧</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2024.01.24</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0.10</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0.005</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2024.01.25</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0.12</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0.005</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vertAlign w:val="baseline"/>
                      <w:lang w:val="en-US"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2024.01.26</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0.15</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0.005</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标准值</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30</w:t>
                  </w:r>
                </w:p>
              </w:tc>
              <w:tc>
                <w:tcPr>
                  <w:tcW w:w="9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highlight w:val="black"/>
                    </w:rPr>
                  </w:pPr>
                  <w:r>
                    <w:rPr>
                      <w:rFonts w:hint="eastAsia"/>
                      <w:color w:val="000000"/>
                      <w:sz w:val="21"/>
                      <w:szCs w:val="21"/>
                      <w:highlight w:val="black"/>
                      <w:u w:val="none" w:color="auto"/>
                      <w:vertAlign w:val="baseline"/>
                      <w:lang w:val="en-US" w:eastAsia="zh-CN"/>
                    </w:rPr>
                    <w:t>10</w:t>
                  </w:r>
                </w:p>
              </w:tc>
              <w:tc>
                <w:tcPr>
                  <w:tcW w:w="14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highlight w:val="black"/>
                      <w:u w:val="none" w:color="auto"/>
                      <w:vertAlign w:val="baseline"/>
                      <w:lang w:val="en-US" w:eastAsia="zh-CN"/>
                    </w:rPr>
                  </w:pPr>
                  <w:r>
                    <w:rPr>
                      <w:rFonts w:hint="eastAsia"/>
                      <w:color w:val="000000"/>
                      <w:sz w:val="21"/>
                      <w:szCs w:val="21"/>
                      <w:highlight w:val="black"/>
                      <w:u w:val="none" w:color="auto"/>
                      <w:vertAlign w:val="baseline"/>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根据上述监测结果，项目所在地</w:t>
            </w:r>
            <w:r>
              <w:rPr>
                <w:rFonts w:hint="eastAsia" w:cs="Times New Roman"/>
                <w:color w:val="000000" w:themeColor="text1"/>
                <w:kern w:val="2"/>
                <w:sz w:val="24"/>
                <w:szCs w:val="24"/>
                <w:highlight w:val="none"/>
                <w:u w:val="none"/>
                <w:shd w:val="clear" w:color="auto" w:fill="auto"/>
                <w:lang w:val="en-US" w:eastAsia="zh-CN" w:bidi="ar-SA"/>
                <w14:textFill>
                  <w14:solidFill>
                    <w14:schemeClr w14:val="tx1"/>
                  </w14:solidFill>
                </w14:textFill>
              </w:rPr>
              <w:t>氨、硫化氢、臭气浓度</w:t>
            </w:r>
            <w:r>
              <w:rPr>
                <w:rFonts w:hint="default" w:ascii="Times New Roman" w:hAnsi="Times New Roman" w:eastAsia="宋体" w:cs="Times New Roman"/>
                <w:color w:val="000000"/>
                <w:sz w:val="24"/>
                <w:szCs w:val="24"/>
                <w:vertAlign w:val="baseline"/>
                <w:lang w:val="en-US" w:eastAsia="zh-CN"/>
              </w:rPr>
              <w:t>可以达到</w:t>
            </w:r>
            <w:r>
              <w:rPr>
                <w:rFonts w:hint="default" w:ascii="Times New Roman" w:hAnsi="Times New Roman" w:eastAsia="宋体" w:cs="Times New Roman"/>
                <w:color w:val="auto"/>
                <w:sz w:val="24"/>
                <w:szCs w:val="24"/>
                <w:u w:val="none"/>
              </w:rPr>
              <w:t>《工业企业设计卫生标准》（TJ36-79）中居住区大气中有害物质的最高容许浓度限值；</w:t>
            </w:r>
            <w:r>
              <w:rPr>
                <w:rFonts w:hint="default" w:ascii="Times New Roman" w:hAnsi="Times New Roman" w:cs="Times New Roman"/>
                <w:color w:val="000000"/>
                <w:sz w:val="24"/>
                <w:szCs w:val="24"/>
                <w:lang w:eastAsia="zh-CN"/>
              </w:rPr>
              <w:t>所在区域空气环境质量良好</w:t>
            </w:r>
            <w:r>
              <w:rPr>
                <w:rFonts w:hint="default" w:ascii="Times New Roman" w:hAnsi="Times New Roman" w:eastAsia="宋体" w:cs="Times New Roman"/>
                <w:color w:val="000000"/>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szCs w:val="24"/>
                <w:highlight w:val="none"/>
                <w:u w:val="none"/>
              </w:rPr>
            </w:pPr>
            <w:r>
              <w:rPr>
                <w:rFonts w:hint="eastAsia"/>
                <w:b/>
                <w:bCs/>
                <w:color w:val="auto"/>
                <w:sz w:val="24"/>
                <w:szCs w:val="24"/>
                <w:highlight w:val="none"/>
                <w:u w:val="none"/>
                <w:lang w:val="en-US" w:eastAsia="zh-CN"/>
              </w:rPr>
              <w:t>2、</w:t>
            </w:r>
            <w:r>
              <w:rPr>
                <w:rFonts w:hint="eastAsia"/>
                <w:b/>
                <w:bCs/>
                <w:color w:val="auto"/>
                <w:sz w:val="24"/>
                <w:szCs w:val="24"/>
                <w:highlight w:val="none"/>
                <w:u w:val="none"/>
              </w:rPr>
              <w:t>地表水环境质量现状</w:t>
            </w:r>
          </w:p>
          <w:p>
            <w:pPr>
              <w:keepNext w:val="0"/>
              <w:keepLines w:val="0"/>
              <w:pageBreakBefore w:val="0"/>
              <w:widowControl w:val="0"/>
              <w:tabs>
                <w:tab w:val="left" w:pos="62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color w:val="auto"/>
                <w:sz w:val="24"/>
                <w:szCs w:val="24"/>
                <w:highlight w:val="none"/>
                <w:u w:val="none"/>
                <w:lang w:eastAsia="zh-CN"/>
              </w:rPr>
              <w:t>本项目距离项目最近的地表水体为项目</w:t>
            </w:r>
            <w:r>
              <w:rPr>
                <w:rFonts w:hint="eastAsia"/>
                <w:color w:val="auto"/>
                <w:sz w:val="24"/>
                <w:szCs w:val="24"/>
                <w:highlight w:val="none"/>
                <w:u w:val="none"/>
                <w:lang w:val="en-US" w:eastAsia="zh-CN"/>
              </w:rPr>
              <w:t>东</w:t>
            </w:r>
            <w:r>
              <w:rPr>
                <w:rFonts w:hint="eastAsia"/>
                <w:color w:val="auto"/>
                <w:sz w:val="24"/>
                <w:szCs w:val="24"/>
                <w:highlight w:val="none"/>
                <w:u w:val="none"/>
                <w:lang w:eastAsia="zh-CN"/>
              </w:rPr>
              <w:t>面</w:t>
            </w:r>
            <w:r>
              <w:rPr>
                <w:rFonts w:hint="eastAsia"/>
                <w:color w:val="auto"/>
                <w:sz w:val="24"/>
                <w:szCs w:val="24"/>
                <w:highlight w:val="none"/>
                <w:u w:val="none"/>
                <w:lang w:val="en-US" w:eastAsia="zh-CN"/>
              </w:rPr>
              <w:t>15m处的黄蜡河。</w:t>
            </w:r>
            <w:r>
              <w:rPr>
                <w:color w:val="auto"/>
                <w:sz w:val="24"/>
                <w:szCs w:val="24"/>
                <w:highlight w:val="none"/>
                <w:u w:val="none"/>
              </w:rPr>
              <w:t>据柳州市生态环境局公布的《20</w:t>
            </w:r>
            <w:r>
              <w:rPr>
                <w:rFonts w:hint="eastAsia"/>
                <w:color w:val="auto"/>
                <w:sz w:val="24"/>
                <w:szCs w:val="24"/>
                <w:highlight w:val="none"/>
                <w:u w:val="none"/>
                <w:lang w:val="en-US" w:eastAsia="zh-CN"/>
              </w:rPr>
              <w:t>22</w:t>
            </w:r>
            <w:r>
              <w:rPr>
                <w:color w:val="auto"/>
                <w:sz w:val="24"/>
                <w:szCs w:val="24"/>
                <w:highlight w:val="none"/>
                <w:u w:val="none"/>
              </w:rPr>
              <w:t>年</w:t>
            </w:r>
            <w:r>
              <w:rPr>
                <w:rFonts w:hint="eastAsia"/>
                <w:color w:val="auto"/>
                <w:sz w:val="24"/>
                <w:szCs w:val="24"/>
                <w:highlight w:val="none"/>
                <w:u w:val="none"/>
                <w:lang w:eastAsia="zh-CN"/>
              </w:rPr>
              <w:t>柳州市生态</w:t>
            </w:r>
            <w:r>
              <w:rPr>
                <w:color w:val="auto"/>
                <w:sz w:val="24"/>
                <w:szCs w:val="24"/>
                <w:highlight w:val="none"/>
                <w:u w:val="none"/>
              </w:rPr>
              <w:t>环境</w:t>
            </w:r>
            <w:r>
              <w:rPr>
                <w:rFonts w:hint="eastAsia"/>
                <w:color w:val="auto"/>
                <w:sz w:val="24"/>
                <w:szCs w:val="24"/>
                <w:highlight w:val="none"/>
                <w:u w:val="none"/>
                <w:lang w:eastAsia="zh-CN"/>
              </w:rPr>
              <w:t>状况</w:t>
            </w:r>
            <w:r>
              <w:rPr>
                <w:color w:val="auto"/>
                <w:sz w:val="24"/>
                <w:szCs w:val="24"/>
                <w:highlight w:val="none"/>
                <w:u w:val="none"/>
              </w:rPr>
              <w:t>公报》，</w:t>
            </w:r>
            <w:r>
              <w:rPr>
                <w:rFonts w:hint="eastAsia"/>
                <w:color w:val="auto"/>
                <w:sz w:val="24"/>
                <w:szCs w:val="24"/>
                <w:highlight w:val="none"/>
                <w:u w:val="none"/>
              </w:rPr>
              <w:t>2022年，柳州市10个国控断面水质年均评价均达到或优于I类水质标准;国控断面年均评价为类水质的占50%。9个非国控断面水质年均评价均达到或优于I类水质标准。</w:t>
            </w:r>
            <w:r>
              <w:rPr>
                <w:rFonts w:hint="default" w:ascii="Times New Roman" w:hAnsi="Times New Roman" w:eastAsia="宋体" w:cs="Times New Roman"/>
                <w:sz w:val="24"/>
                <w:szCs w:val="24"/>
              </w:rPr>
              <w:t>项目评价河段水质现状满足《地表水环境质量标准》（GB3838-2002）</w:t>
            </w:r>
            <w:r>
              <w:rPr>
                <w:rFonts w:hint="eastAsia"/>
                <w:lang w:val="en-US" w:eastAsia="zh-CN"/>
              </w:rPr>
              <w:t>Ⅲ</w:t>
            </w:r>
            <w:r>
              <w:rPr>
                <w:rFonts w:hint="default" w:ascii="Times New Roman" w:hAnsi="Times New Roman" w:eastAsia="宋体" w:cs="Times New Roman"/>
                <w:sz w:val="24"/>
                <w:szCs w:val="24"/>
              </w:rPr>
              <w:t>类水质要求。</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eastAsia="宋体"/>
                <w:lang w:val="en-US" w:eastAsia="zh-CN"/>
              </w:rPr>
            </w:pPr>
            <w:r>
              <w:rPr>
                <w:rFonts w:hint="eastAsia"/>
                <w:sz w:val="24"/>
                <w:lang w:val="en-US" w:eastAsia="zh-CN"/>
              </w:rPr>
              <w:t>本次评价委托</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广西德润环保科技有限公司</w:t>
            </w:r>
            <w:r>
              <w:rPr>
                <w:rFonts w:hint="eastAsia"/>
                <w:sz w:val="24"/>
                <w:lang w:val="en-US" w:eastAsia="zh-CN"/>
              </w:rPr>
              <w:t>针对项目排污口上下游所在的黄蜡河进行了水质检测，检测结果显示黄蜡河上下游水质满足</w:t>
            </w:r>
            <w:r>
              <w:rPr>
                <w:sz w:val="24"/>
              </w:rPr>
              <w:t>《地表水环境质量标准》（GB3838-2002）</w:t>
            </w:r>
            <w:r>
              <w:rPr>
                <w:rFonts w:hint="eastAsia"/>
                <w:lang w:val="en-US" w:eastAsia="zh-CN"/>
              </w:rPr>
              <w:t>Ⅲ</w:t>
            </w:r>
            <w:r>
              <w:rPr>
                <w:sz w:val="24"/>
              </w:rPr>
              <w:t>类标准</w:t>
            </w:r>
            <w:r>
              <w:rPr>
                <w:rFonts w:hint="eastAsia"/>
                <w:sz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u w:val="none"/>
              </w:rPr>
            </w:pPr>
            <w:r>
              <w:rPr>
                <w:rFonts w:hint="eastAsia"/>
                <w:b/>
                <w:bCs/>
                <w:color w:val="auto"/>
                <w:sz w:val="24"/>
                <w:szCs w:val="24"/>
                <w:highlight w:val="none"/>
                <w:u w:val="none"/>
                <w:lang w:val="en-US" w:eastAsia="zh-CN"/>
              </w:rPr>
              <w:t>3、</w:t>
            </w:r>
            <w:r>
              <w:rPr>
                <w:rFonts w:hint="eastAsia"/>
                <w:b/>
                <w:bCs/>
                <w:color w:val="auto"/>
                <w:sz w:val="24"/>
                <w:szCs w:val="24"/>
                <w:highlight w:val="none"/>
                <w:u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根据柳州市生态环境局公布的</w:t>
            </w:r>
            <w:r>
              <w:rPr>
                <w:color w:val="auto"/>
                <w:sz w:val="24"/>
                <w:szCs w:val="24"/>
                <w:highlight w:val="none"/>
                <w:u w:val="none"/>
              </w:rPr>
              <w:t>《20</w:t>
            </w:r>
            <w:r>
              <w:rPr>
                <w:rFonts w:hint="eastAsia"/>
                <w:color w:val="auto"/>
                <w:sz w:val="24"/>
                <w:szCs w:val="24"/>
                <w:highlight w:val="none"/>
                <w:u w:val="none"/>
                <w:lang w:val="en-US" w:eastAsia="zh-CN"/>
              </w:rPr>
              <w:t>22</w:t>
            </w:r>
            <w:r>
              <w:rPr>
                <w:color w:val="auto"/>
                <w:sz w:val="24"/>
                <w:szCs w:val="24"/>
                <w:highlight w:val="none"/>
                <w:u w:val="none"/>
              </w:rPr>
              <w:t>年</w:t>
            </w:r>
            <w:r>
              <w:rPr>
                <w:rFonts w:hint="eastAsia"/>
                <w:color w:val="auto"/>
                <w:sz w:val="24"/>
                <w:szCs w:val="24"/>
                <w:highlight w:val="none"/>
                <w:u w:val="none"/>
                <w:lang w:eastAsia="zh-CN"/>
              </w:rPr>
              <w:t>柳州市生态</w:t>
            </w:r>
            <w:r>
              <w:rPr>
                <w:color w:val="auto"/>
                <w:sz w:val="24"/>
                <w:szCs w:val="24"/>
                <w:highlight w:val="none"/>
                <w:u w:val="none"/>
              </w:rPr>
              <w:t>环境</w:t>
            </w:r>
            <w:r>
              <w:rPr>
                <w:rFonts w:hint="eastAsia"/>
                <w:color w:val="auto"/>
                <w:sz w:val="24"/>
                <w:szCs w:val="24"/>
                <w:highlight w:val="none"/>
                <w:u w:val="none"/>
                <w:lang w:eastAsia="zh-CN"/>
              </w:rPr>
              <w:t>状况</w:t>
            </w:r>
            <w:r>
              <w:rPr>
                <w:color w:val="auto"/>
                <w:sz w:val="24"/>
                <w:szCs w:val="24"/>
                <w:highlight w:val="none"/>
                <w:u w:val="none"/>
              </w:rPr>
              <w:t>公报》</w:t>
            </w:r>
            <w:r>
              <w:rPr>
                <w:rFonts w:ascii="Times New Roman" w:hAnsi="Times New Roman" w:eastAsia="宋体" w:cs="Times New Roman"/>
                <w:color w:val="auto"/>
                <w:sz w:val="24"/>
                <w:szCs w:val="24"/>
                <w:highlight w:val="none"/>
                <w:u w:val="none"/>
              </w:rPr>
              <w:t>，柳州市城市声环境共计1</w:t>
            </w:r>
            <w:r>
              <w:rPr>
                <w:rFonts w:hint="eastAsia" w:ascii="Times New Roman" w:hAnsi="Times New Roman" w:eastAsia="宋体" w:cs="Times New Roman"/>
                <w:color w:val="auto"/>
                <w:sz w:val="24"/>
                <w:szCs w:val="24"/>
                <w:highlight w:val="none"/>
                <w:u w:val="none"/>
                <w:lang w:val="en-US" w:eastAsia="zh-CN"/>
              </w:rPr>
              <w:t>30</w:t>
            </w:r>
            <w:r>
              <w:rPr>
                <w:rFonts w:ascii="Times New Roman" w:hAnsi="Times New Roman" w:eastAsia="宋体" w:cs="Times New Roman"/>
                <w:color w:val="auto"/>
                <w:sz w:val="24"/>
                <w:szCs w:val="24"/>
                <w:highlight w:val="none"/>
                <w:u w:val="none"/>
              </w:rPr>
              <w:t>个监测点，202</w:t>
            </w:r>
            <w:r>
              <w:rPr>
                <w:rFonts w:hint="eastAsia" w:ascii="Times New Roman" w:hAnsi="Times New Roman" w:eastAsia="宋体" w:cs="Times New Roman"/>
                <w:color w:val="auto"/>
                <w:sz w:val="24"/>
                <w:szCs w:val="24"/>
                <w:highlight w:val="none"/>
                <w:u w:val="none"/>
                <w:lang w:val="en-US" w:eastAsia="zh-CN"/>
              </w:rPr>
              <w:t>2</w:t>
            </w:r>
            <w:r>
              <w:rPr>
                <w:rFonts w:ascii="Times New Roman" w:hAnsi="Times New Roman" w:eastAsia="宋体" w:cs="Times New Roman"/>
                <w:color w:val="auto"/>
                <w:sz w:val="24"/>
                <w:szCs w:val="24"/>
                <w:highlight w:val="none"/>
                <w:u w:val="none"/>
              </w:rPr>
              <w:t>年监测值在45.</w:t>
            </w:r>
            <w:r>
              <w:rPr>
                <w:rFonts w:hint="eastAsia" w:ascii="Times New Roman" w:hAnsi="Times New Roman" w:eastAsia="宋体" w:cs="Times New Roman"/>
                <w:color w:val="auto"/>
                <w:sz w:val="24"/>
                <w:szCs w:val="24"/>
                <w:highlight w:val="none"/>
                <w:u w:val="none"/>
                <w:lang w:val="en-US" w:eastAsia="zh-CN"/>
              </w:rPr>
              <w:t>3</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58.9</w:t>
            </w:r>
            <w:r>
              <w:rPr>
                <w:rFonts w:ascii="Times New Roman" w:hAnsi="Times New Roman" w:eastAsia="宋体" w:cs="Times New Roman"/>
                <w:color w:val="auto"/>
                <w:sz w:val="24"/>
                <w:szCs w:val="24"/>
                <w:highlight w:val="none"/>
                <w:u w:val="none"/>
              </w:rPr>
              <w:t>dB(A</w:t>
            </w:r>
            <w:r>
              <w:rPr>
                <w:rFonts w:hint="eastAsia"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之间，区域环境噪均值为</w:t>
            </w:r>
            <w:r>
              <w:rPr>
                <w:rFonts w:hint="eastAsia" w:ascii="Times New Roman" w:hAnsi="Times New Roman" w:eastAsia="宋体" w:cs="Times New Roman"/>
                <w:color w:val="auto"/>
                <w:sz w:val="24"/>
                <w:szCs w:val="24"/>
                <w:highlight w:val="none"/>
                <w:u w:val="none"/>
                <w:lang w:val="en-US" w:eastAsia="zh-CN"/>
              </w:rPr>
              <w:t>55.0</w:t>
            </w:r>
            <w:r>
              <w:rPr>
                <w:rFonts w:ascii="Times New Roman" w:hAnsi="Times New Roman" w:eastAsia="宋体" w:cs="Times New Roman"/>
                <w:color w:val="auto"/>
                <w:sz w:val="24"/>
                <w:szCs w:val="24"/>
                <w:highlight w:val="none"/>
                <w:u w:val="none"/>
              </w:rPr>
              <w:t>dB(A)，环境噪声质量等级</w:t>
            </w:r>
            <w:r>
              <w:rPr>
                <w:rFonts w:hint="eastAsia" w:ascii="Times New Roman" w:hAnsi="Times New Roman" w:eastAsia="宋体" w:cs="Times New Roman"/>
                <w:color w:val="auto"/>
                <w:sz w:val="24"/>
                <w:szCs w:val="24"/>
                <w:highlight w:val="none"/>
                <w:u w:val="none"/>
                <w:lang w:val="en-US" w:eastAsia="zh-CN"/>
              </w:rPr>
              <w:t>为较好</w:t>
            </w:r>
            <w:r>
              <w:rPr>
                <w:rFonts w:ascii="Times New Roman" w:hAnsi="Times New Roman" w:eastAsia="宋体" w:cs="Times New Roman"/>
                <w:color w:val="auto"/>
                <w:sz w:val="24"/>
                <w:szCs w:val="24"/>
                <w:highlight w:val="none"/>
                <w:u w:val="none"/>
              </w:rPr>
              <w:t>。柳州市道路交通</w:t>
            </w:r>
            <w:r>
              <w:rPr>
                <w:rFonts w:hint="eastAsia" w:ascii="Times New Roman" w:hAnsi="Times New Roman" w:eastAsia="宋体" w:cs="Times New Roman"/>
                <w:color w:val="auto"/>
                <w:sz w:val="24"/>
                <w:szCs w:val="24"/>
                <w:highlight w:val="none"/>
                <w:u w:val="none"/>
                <w:lang w:val="en-US" w:eastAsia="zh-CN"/>
              </w:rPr>
              <w:t>声环境质量</w:t>
            </w:r>
            <w:r>
              <w:rPr>
                <w:rFonts w:ascii="Times New Roman" w:hAnsi="Times New Roman" w:eastAsia="宋体" w:cs="Times New Roman"/>
                <w:color w:val="auto"/>
                <w:sz w:val="24"/>
                <w:szCs w:val="24"/>
                <w:highlight w:val="none"/>
                <w:u w:val="none"/>
              </w:rPr>
              <w:t>共计8</w:t>
            </w:r>
            <w:r>
              <w:rPr>
                <w:rFonts w:hint="eastAsia" w:ascii="Times New Roman" w:hAnsi="Times New Roman" w:eastAsia="宋体" w:cs="Times New Roman"/>
                <w:color w:val="auto"/>
                <w:sz w:val="24"/>
                <w:szCs w:val="24"/>
                <w:highlight w:val="none"/>
                <w:u w:val="none"/>
                <w:lang w:val="en-US" w:eastAsia="zh-CN"/>
              </w:rPr>
              <w:t>5</w:t>
            </w:r>
            <w:r>
              <w:rPr>
                <w:rFonts w:ascii="Times New Roman" w:hAnsi="Times New Roman" w:eastAsia="宋体" w:cs="Times New Roman"/>
                <w:color w:val="auto"/>
                <w:sz w:val="24"/>
                <w:szCs w:val="24"/>
                <w:highlight w:val="none"/>
                <w:u w:val="none"/>
              </w:rPr>
              <w:t>个监测点，202</w:t>
            </w:r>
            <w:r>
              <w:rPr>
                <w:rFonts w:hint="eastAsia" w:ascii="Times New Roman" w:hAnsi="Times New Roman" w:eastAsia="宋体" w:cs="Times New Roman"/>
                <w:color w:val="auto"/>
                <w:sz w:val="24"/>
                <w:szCs w:val="24"/>
                <w:highlight w:val="none"/>
                <w:u w:val="none"/>
                <w:lang w:val="en-US" w:eastAsia="zh-CN"/>
              </w:rPr>
              <w:t>2</w:t>
            </w:r>
            <w:r>
              <w:rPr>
                <w:rFonts w:ascii="Times New Roman" w:hAnsi="Times New Roman" w:eastAsia="宋体" w:cs="Times New Roman"/>
                <w:color w:val="auto"/>
                <w:sz w:val="24"/>
                <w:szCs w:val="24"/>
                <w:highlight w:val="none"/>
                <w:u w:val="none"/>
              </w:rPr>
              <w:t>年道路交通噪声监测值</w:t>
            </w:r>
            <w:r>
              <w:rPr>
                <w:rFonts w:hint="eastAsia" w:ascii="Times New Roman" w:hAnsi="Times New Roman" w:eastAsia="宋体" w:cs="Times New Roman"/>
                <w:color w:val="auto"/>
                <w:sz w:val="24"/>
                <w:szCs w:val="24"/>
                <w:highlight w:val="none"/>
                <w:u w:val="none"/>
                <w:lang w:val="en-US" w:eastAsia="zh-CN"/>
              </w:rPr>
              <w:t>59.5</w:t>
            </w:r>
            <w:r>
              <w:rPr>
                <w:rFonts w:ascii="Times New Roman" w:hAnsi="Times New Roman" w:eastAsia="宋体" w:cs="Times New Roman"/>
                <w:color w:val="auto"/>
                <w:sz w:val="24"/>
                <w:szCs w:val="24"/>
                <w:highlight w:val="none"/>
                <w:u w:val="none"/>
              </w:rPr>
              <w:t>-7</w:t>
            </w:r>
            <w:r>
              <w:rPr>
                <w:rFonts w:hint="eastAsia" w:ascii="Times New Roman" w:hAnsi="Times New Roman" w:eastAsia="宋体" w:cs="Times New Roman"/>
                <w:color w:val="auto"/>
                <w:sz w:val="24"/>
                <w:szCs w:val="24"/>
                <w:highlight w:val="none"/>
                <w:u w:val="none"/>
                <w:lang w:val="en-US" w:eastAsia="zh-CN"/>
              </w:rPr>
              <w:t>5</w:t>
            </w:r>
            <w:r>
              <w:rPr>
                <w:rFonts w:ascii="Times New Roman" w:hAnsi="Times New Roman" w:eastAsia="宋体" w:cs="Times New Roman"/>
                <w:color w:val="auto"/>
                <w:sz w:val="24"/>
                <w:szCs w:val="24"/>
                <w:highlight w:val="none"/>
                <w:u w:val="none"/>
              </w:rPr>
              <w:t>dB(A</w:t>
            </w:r>
            <w:r>
              <w:rPr>
                <w:rFonts w:hint="eastAsia"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之间，</w:t>
            </w:r>
            <w:r>
              <w:rPr>
                <w:rFonts w:hint="eastAsia" w:ascii="Times New Roman" w:hAnsi="Times New Roman" w:eastAsia="宋体" w:cs="Times New Roman"/>
                <w:color w:val="auto"/>
                <w:sz w:val="24"/>
                <w:szCs w:val="24"/>
                <w:highlight w:val="none"/>
                <w:u w:val="none"/>
                <w:lang w:val="en-US" w:eastAsia="zh-CN"/>
              </w:rPr>
              <w:t>加权平均值</w:t>
            </w:r>
            <w:r>
              <w:rPr>
                <w:rFonts w:ascii="Times New Roman" w:hAnsi="Times New Roman" w:eastAsia="宋体" w:cs="Times New Roman"/>
                <w:color w:val="auto"/>
                <w:sz w:val="24"/>
                <w:szCs w:val="24"/>
                <w:highlight w:val="none"/>
                <w:u w:val="none"/>
              </w:rPr>
              <w:t>为6</w:t>
            </w:r>
            <w:r>
              <w:rPr>
                <w:rFonts w:hint="eastAsia" w:ascii="Times New Roman" w:hAnsi="Times New Roman" w:eastAsia="宋体" w:cs="Times New Roman"/>
                <w:color w:val="auto"/>
                <w:sz w:val="24"/>
                <w:szCs w:val="24"/>
                <w:highlight w:val="none"/>
                <w:u w:val="none"/>
                <w:lang w:val="en-US" w:eastAsia="zh-CN"/>
              </w:rPr>
              <w:t>7</w:t>
            </w:r>
            <w:r>
              <w:rPr>
                <w:rFonts w:ascii="Times New Roman" w:hAnsi="Times New Roman" w:eastAsia="宋体" w:cs="Times New Roman"/>
                <w:color w:val="auto"/>
                <w:sz w:val="24"/>
                <w:szCs w:val="24"/>
                <w:highlight w:val="none"/>
                <w:u w:val="none"/>
              </w:rPr>
              <w:t>.2dB(A)，道路交通噪声质量等级为较好。柳州市功能区噪声共计</w:t>
            </w:r>
            <w:r>
              <w:rPr>
                <w:rFonts w:hint="eastAsia" w:ascii="Times New Roman" w:hAnsi="Times New Roman" w:eastAsia="宋体" w:cs="Times New Roman"/>
                <w:color w:val="auto"/>
                <w:sz w:val="24"/>
                <w:szCs w:val="24"/>
                <w:highlight w:val="none"/>
                <w:u w:val="none"/>
                <w:lang w:val="en-US" w:eastAsia="zh-CN"/>
              </w:rPr>
              <w:t>15</w:t>
            </w:r>
            <w:r>
              <w:rPr>
                <w:rFonts w:ascii="Times New Roman" w:hAnsi="Times New Roman" w:eastAsia="宋体" w:cs="Times New Roman"/>
                <w:color w:val="auto"/>
                <w:sz w:val="24"/>
                <w:szCs w:val="24"/>
                <w:highlight w:val="none"/>
                <w:u w:val="none"/>
              </w:rPr>
              <w:t>个监测点，202</w:t>
            </w:r>
            <w:r>
              <w:rPr>
                <w:rFonts w:hint="eastAsia" w:ascii="Times New Roman" w:hAnsi="Times New Roman" w:eastAsia="宋体" w:cs="Times New Roman"/>
                <w:color w:val="auto"/>
                <w:sz w:val="24"/>
                <w:szCs w:val="24"/>
                <w:highlight w:val="none"/>
                <w:u w:val="none"/>
                <w:lang w:val="en-US" w:eastAsia="zh-CN"/>
              </w:rPr>
              <w:t>2</w:t>
            </w:r>
            <w:r>
              <w:rPr>
                <w:rFonts w:ascii="Times New Roman" w:hAnsi="Times New Roman" w:eastAsia="宋体" w:cs="Times New Roman"/>
                <w:color w:val="auto"/>
                <w:sz w:val="24"/>
                <w:szCs w:val="24"/>
                <w:highlight w:val="none"/>
                <w:u w:val="none"/>
              </w:rPr>
              <w:t>年柳州市功能区</w:t>
            </w:r>
            <w:r>
              <w:rPr>
                <w:rFonts w:hint="eastAsia" w:ascii="Times New Roman" w:hAnsi="Times New Roman" w:eastAsia="宋体" w:cs="Times New Roman"/>
                <w:color w:val="auto"/>
                <w:sz w:val="24"/>
                <w:szCs w:val="24"/>
                <w:highlight w:val="none"/>
                <w:u w:val="none"/>
                <w:lang w:val="en-US" w:eastAsia="zh-CN"/>
              </w:rPr>
              <w:t>昼间监测总</w:t>
            </w:r>
            <w:r>
              <w:rPr>
                <w:rFonts w:hint="eastAsia" w:cs="Times New Roman"/>
                <w:color w:val="auto"/>
                <w:sz w:val="24"/>
                <w:szCs w:val="24"/>
                <w:highlight w:val="none"/>
                <w:u w:val="none"/>
                <w:lang w:val="en-US" w:eastAsia="zh-CN"/>
              </w:rPr>
              <w:t>点</w:t>
            </w:r>
            <w:r>
              <w:rPr>
                <w:rFonts w:hint="eastAsia" w:ascii="Times New Roman" w:hAnsi="Times New Roman" w:eastAsia="宋体" w:cs="Times New Roman"/>
                <w:color w:val="auto"/>
                <w:sz w:val="24"/>
                <w:szCs w:val="24"/>
                <w:highlight w:val="none"/>
                <w:u w:val="none"/>
                <w:lang w:val="en-US" w:eastAsia="zh-CN"/>
              </w:rPr>
              <w:t>次达标率98.3%；夜间监测总点次达标率98.3%</w:t>
            </w:r>
            <w:r>
              <w:rPr>
                <w:rFonts w:ascii="Times New Roman" w:hAnsi="Times New Roman" w:eastAsia="宋体" w:cs="Times New Roman"/>
                <w:color w:val="auto"/>
                <w:sz w:val="24"/>
                <w:szCs w:val="24"/>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根据《建设项目环境影响报告表编制技术指南（污染影响类）（试行）》中关于区域声环境质量现状中的要求，厂界外周边50米范围内存在声环境保护目标的建设项目，应监测保护目标声环境质量现状并评价达标情况。本项目厂界50米无声环境保护目标，故不做声环境现状监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 xml:space="preserve">、地下水环境质量现状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根据《环境影响评价技术导则 地下水环境》（HJ 610-2016），在地下水环境影响评价行业分类表中，本项目</w:t>
            </w:r>
            <w:r>
              <w:rPr>
                <w:rFonts w:hint="eastAsia" w:cs="Times New Roman"/>
                <w:color w:val="000000"/>
                <w:kern w:val="0"/>
                <w:sz w:val="24"/>
                <w:szCs w:val="24"/>
                <w:lang w:val="en-US" w:eastAsia="zh-CN" w:bidi="ar"/>
              </w:rPr>
              <w:t>米粉</w:t>
            </w:r>
            <w:r>
              <w:rPr>
                <w:rFonts w:hint="default" w:ascii="Times New Roman" w:hAnsi="Times New Roman" w:eastAsia="宋体" w:cs="Times New Roman"/>
                <w:color w:val="000000"/>
                <w:kern w:val="0"/>
                <w:sz w:val="24"/>
                <w:szCs w:val="24"/>
                <w:lang w:val="en-US" w:eastAsia="zh-CN" w:bidi="ar"/>
              </w:rPr>
              <w:t>生产区属于“N轻工-1</w:t>
            </w:r>
            <w:r>
              <w:rPr>
                <w:rFonts w:hint="eastAsia" w:ascii="Times New Roman" w:hAnsi="Times New Roman" w:eastAsia="宋体" w:cs="Times New Roman"/>
                <w:color w:val="000000"/>
                <w:kern w:val="0"/>
                <w:sz w:val="24"/>
                <w:szCs w:val="24"/>
                <w:lang w:val="en-US" w:eastAsia="zh-CN" w:bidi="ar"/>
              </w:rPr>
              <w:t>07</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其他食品</w:t>
            </w:r>
            <w:r>
              <w:rPr>
                <w:rFonts w:hint="default" w:ascii="Times New Roman" w:hAnsi="Times New Roman" w:eastAsia="宋体" w:cs="Times New Roman"/>
                <w:color w:val="000000"/>
                <w:kern w:val="0"/>
                <w:sz w:val="24"/>
                <w:szCs w:val="24"/>
                <w:lang w:val="en-US" w:eastAsia="zh-CN" w:bidi="ar"/>
              </w:rPr>
              <w:t>制造”中的“</w:t>
            </w:r>
            <w:r>
              <w:rPr>
                <w:rFonts w:hint="eastAsia" w:ascii="宋体" w:hAnsi="宋体" w:eastAsia="宋体" w:cs="宋体"/>
                <w:color w:val="000000"/>
                <w:kern w:val="0"/>
                <w:sz w:val="24"/>
                <w:szCs w:val="24"/>
                <w:lang w:val="en-US" w:eastAsia="zh-CN" w:bidi="ar"/>
              </w:rPr>
              <w:t>除手工制作和单纯分装外</w:t>
            </w:r>
            <w:r>
              <w:rPr>
                <w:rFonts w:hint="default" w:ascii="Times New Roman" w:hAnsi="Times New Roman" w:eastAsia="宋体" w:cs="Times New Roman"/>
                <w:color w:val="000000"/>
                <w:kern w:val="0"/>
                <w:sz w:val="24"/>
                <w:szCs w:val="24"/>
                <w:lang w:val="en-US" w:eastAsia="zh-CN" w:bidi="ar"/>
              </w:rPr>
              <w:t>”类别，属于报告表，为Ⅳ类项目；Ⅳ类建设项目不开展地下水环境影响评价。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b/>
                <w:bCs/>
                <w:color w:val="auto"/>
                <w:sz w:val="24"/>
                <w:szCs w:val="24"/>
                <w:highlight w:val="none"/>
                <w:u w:val="none"/>
                <w:lang w:val="en-US" w:eastAsia="zh-CN"/>
              </w:rPr>
              <w:t>5、</w:t>
            </w:r>
            <w:r>
              <w:rPr>
                <w:rFonts w:hint="eastAsia" w:ascii="宋体" w:hAnsi="宋体" w:eastAsia="宋体" w:cs="宋体"/>
                <w:b/>
                <w:bCs/>
                <w:color w:val="000000"/>
                <w:kern w:val="0"/>
                <w:sz w:val="24"/>
                <w:szCs w:val="24"/>
                <w:lang w:val="en-US" w:eastAsia="zh-CN" w:bidi="ar"/>
              </w:rPr>
              <w:t xml:space="preserve">土壤环境质量现状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根据《环境影响评价技术导则 土壤环境（试行）》（</w:t>
            </w:r>
            <w:r>
              <w:rPr>
                <w:rFonts w:hint="default" w:ascii="Times New Roman" w:hAnsi="Times New Roman" w:eastAsia="宋体" w:cs="Times New Roman"/>
                <w:color w:val="000000"/>
                <w:kern w:val="0"/>
                <w:sz w:val="24"/>
                <w:szCs w:val="24"/>
                <w:lang w:val="en-US" w:eastAsia="zh-CN" w:bidi="ar"/>
              </w:rPr>
              <w:t>HJ 964—2018</w:t>
            </w:r>
            <w:r>
              <w:rPr>
                <w:rFonts w:hint="eastAsia" w:ascii="宋体" w:hAnsi="宋体" w:eastAsia="宋体" w:cs="宋体"/>
                <w:color w:val="000000"/>
                <w:kern w:val="0"/>
                <w:sz w:val="24"/>
                <w:szCs w:val="24"/>
                <w:lang w:val="en-US" w:eastAsia="zh-CN" w:bidi="ar"/>
              </w:rPr>
              <w:t>）附录</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，按照建设项目所属行业对土壤环境影响的程度，将建设项目分为四类，经查附录</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本项目米粉生产属于</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其他行业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全部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，属于</w:t>
            </w:r>
            <w:r>
              <w:rPr>
                <w:rFonts w:hint="eastAsia" w:ascii="宋体" w:hAnsi="宋体" w:cs="宋体"/>
                <w:color w:val="000000"/>
                <w:kern w:val="0"/>
                <w:sz w:val="24"/>
                <w:szCs w:val="24"/>
                <w:lang w:val="en-US" w:eastAsia="zh-CN" w:bidi="ar"/>
              </w:rPr>
              <w:t>Ⅳ类</w:t>
            </w:r>
            <w:r>
              <w:rPr>
                <w:rFonts w:hint="eastAsia" w:ascii="宋体" w:hAnsi="宋体" w:eastAsia="宋体" w:cs="宋体"/>
                <w:color w:val="000000"/>
                <w:kern w:val="0"/>
                <w:sz w:val="24"/>
                <w:szCs w:val="24"/>
                <w:lang w:val="en-US" w:eastAsia="zh-CN" w:bidi="ar"/>
              </w:rPr>
              <w:t>项目。项目周边</w:t>
            </w:r>
            <w:r>
              <w:rPr>
                <w:rFonts w:hint="default" w:ascii="Times New Roman" w:hAnsi="Times New Roman" w:eastAsia="宋体" w:cs="Times New Roman"/>
                <w:color w:val="000000"/>
                <w:kern w:val="0"/>
                <w:sz w:val="24"/>
                <w:szCs w:val="24"/>
                <w:lang w:val="en-US" w:eastAsia="zh-CN" w:bidi="ar"/>
              </w:rPr>
              <w:t>100m</w:t>
            </w:r>
            <w:r>
              <w:rPr>
                <w:rFonts w:hint="eastAsia" w:ascii="宋体" w:hAnsi="宋体" w:eastAsia="宋体" w:cs="宋体"/>
                <w:color w:val="000000"/>
                <w:kern w:val="0"/>
                <w:sz w:val="24"/>
                <w:szCs w:val="24"/>
                <w:lang w:val="en-US" w:eastAsia="zh-CN" w:bidi="ar"/>
              </w:rPr>
              <w:t>范围内无耕地、园地、牧草地、饮用水水源地或居民区、学校、医院、疗养院、养老院等土壤环境敏感目标。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根据《环境影响评价技术导则 土壤环境（试行）》（</w:t>
            </w:r>
            <w:r>
              <w:rPr>
                <w:rFonts w:hint="default" w:ascii="Times New Roman" w:hAnsi="Times New Roman" w:eastAsia="宋体" w:cs="Times New Roman"/>
                <w:color w:val="000000"/>
                <w:kern w:val="0"/>
                <w:sz w:val="24"/>
                <w:szCs w:val="24"/>
                <w:lang w:val="en-US" w:eastAsia="zh-CN" w:bidi="ar"/>
              </w:rPr>
              <w:t>HJ 964-2018</w:t>
            </w:r>
            <w:r>
              <w:rPr>
                <w:rFonts w:hint="eastAsia" w:ascii="宋体" w:hAnsi="宋体" w:eastAsia="宋体" w:cs="宋体"/>
                <w:color w:val="000000"/>
                <w:kern w:val="0"/>
                <w:sz w:val="24"/>
                <w:szCs w:val="24"/>
                <w:lang w:val="en-US" w:eastAsia="zh-CN" w:bidi="ar"/>
              </w:rPr>
              <w:t>），项目为土壤环境污染影响型项目，</w:t>
            </w:r>
            <w:r>
              <w:rPr>
                <w:rFonts w:hint="eastAsia" w:ascii="宋体" w:hAnsi="宋体" w:cs="宋体"/>
                <w:color w:val="000000"/>
                <w:kern w:val="0"/>
                <w:sz w:val="24"/>
                <w:szCs w:val="24"/>
                <w:lang w:val="en-US" w:eastAsia="zh-CN" w:bidi="ar"/>
              </w:rPr>
              <w:t>属于附录A中的其他行业，项目类别为Ⅳ类，</w:t>
            </w:r>
            <w:r>
              <w:rPr>
                <w:rFonts w:hint="eastAsia" w:ascii="宋体" w:hAnsi="宋体" w:eastAsia="宋体" w:cs="宋体"/>
                <w:color w:val="000000"/>
                <w:kern w:val="0"/>
                <w:sz w:val="24"/>
                <w:szCs w:val="24"/>
                <w:lang w:val="en-US" w:eastAsia="zh-CN" w:bidi="ar"/>
              </w:rPr>
              <w:t>敏感程度为不敏感，项目占地规模为小型，因此本项目</w:t>
            </w:r>
            <w:r>
              <w:rPr>
                <w:rFonts w:hint="eastAsia" w:ascii="宋体" w:hAnsi="宋体" w:cs="宋体"/>
                <w:color w:val="000000"/>
                <w:kern w:val="0"/>
                <w:sz w:val="24"/>
                <w:szCs w:val="24"/>
                <w:lang w:val="en-US" w:eastAsia="zh-CN" w:bidi="ar"/>
              </w:rPr>
              <w:t>可不开展土壤环境影响评价</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u w:val="none"/>
              </w:rPr>
            </w:pPr>
            <w:r>
              <w:rPr>
                <w:rFonts w:hint="eastAsia"/>
                <w:b/>
                <w:bCs/>
                <w:color w:val="auto"/>
                <w:sz w:val="24"/>
                <w:szCs w:val="24"/>
                <w:highlight w:val="none"/>
                <w:u w:val="none"/>
                <w:lang w:val="en-US" w:eastAsia="zh-CN"/>
              </w:rPr>
              <w:t>6、</w:t>
            </w:r>
            <w:r>
              <w:rPr>
                <w:rFonts w:hint="eastAsia"/>
                <w:b/>
                <w:bCs/>
                <w:color w:val="auto"/>
                <w:sz w:val="24"/>
                <w:szCs w:val="24"/>
                <w:highlight w:val="none"/>
                <w:u w:val="none"/>
              </w:rPr>
              <w:t>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u w:val="none"/>
              </w:rPr>
            </w:pPr>
            <w:r>
              <w:rPr>
                <w:color w:val="auto"/>
                <w:sz w:val="24"/>
                <w:szCs w:val="24"/>
                <w:highlight w:val="none"/>
                <w:u w:val="none"/>
              </w:rPr>
              <w:t>项目位于</w:t>
            </w:r>
            <w:r>
              <w:rPr>
                <w:rFonts w:hint="eastAsia"/>
                <w:color w:val="auto"/>
                <w:sz w:val="24"/>
                <w:szCs w:val="24"/>
                <w:highlight w:val="none"/>
                <w:u w:val="none"/>
              </w:rPr>
              <w:t>柳州市鹿寨县中渡镇马安村下拉屯；</w:t>
            </w:r>
            <w:r>
              <w:rPr>
                <w:color w:val="auto"/>
                <w:sz w:val="24"/>
                <w:szCs w:val="24"/>
                <w:highlight w:val="none"/>
                <w:u w:val="none"/>
              </w:rPr>
              <w:t>周边区域人类活动频繁。区域动植物稀少，原生生态系统薄弱，评价区域无珍稀动植物分布，生态环境一般，不属于生态敏感区。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u w:val="none"/>
              </w:rPr>
            </w:pPr>
            <w:r>
              <w:rPr>
                <w:rFonts w:hint="eastAsia"/>
                <w:b/>
                <w:bCs/>
                <w:color w:val="auto"/>
                <w:sz w:val="24"/>
                <w:szCs w:val="24"/>
                <w:highlight w:val="none"/>
                <w:u w:val="none"/>
                <w:lang w:val="en-US" w:eastAsia="zh-CN"/>
              </w:rPr>
              <w:t>7</w:t>
            </w:r>
            <w:r>
              <w:rPr>
                <w:rFonts w:hint="eastAsia"/>
                <w:b/>
                <w:bCs/>
                <w:color w:val="auto"/>
                <w:sz w:val="24"/>
                <w:szCs w:val="24"/>
                <w:highlight w:val="none"/>
                <w:u w:val="none"/>
              </w:rPr>
              <w:t>、电磁辐射环境质量现状</w:t>
            </w:r>
          </w:p>
          <w:p>
            <w:pPr>
              <w:pStyle w:val="4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olor w:val="auto"/>
                <w:sz w:val="24"/>
                <w:szCs w:val="24"/>
                <w:highlight w:val="none"/>
                <w:u w:val="none"/>
              </w:rPr>
              <w:t>本项目无电磁辐射影响。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93" w:hRule="atLeast"/>
          <w:jc w:val="center"/>
        </w:trPr>
        <w:tc>
          <w:tcPr>
            <w:tcW w:w="244" w:type="pct"/>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保护</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目标</w:t>
            </w:r>
          </w:p>
        </w:tc>
        <w:tc>
          <w:tcPr>
            <w:tcW w:w="4755" w:type="pct"/>
            <w:vAlign w:val="center"/>
          </w:tcPr>
          <w:p>
            <w:pPr>
              <w:spacing w:line="420" w:lineRule="exact"/>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根据环办环评〔2020〕33号附件2《建设项目环境影响报告表编制技术指南（污染影响类）（试行）》，环境影响报告表环境保护目标设置范围如下：</w:t>
            </w:r>
          </w:p>
          <w:p>
            <w:pPr>
              <w:adjustRightInd w:val="0"/>
              <w:snapToGrid w:val="0"/>
              <w:spacing w:line="420" w:lineRule="exact"/>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（1）环境空气：项目周边500米范围内的自然保护区、风景名胜区、居住区、文化区和农村地区中人群较集中的区域需设为环境空气保护目标。</w:t>
            </w:r>
          </w:p>
          <w:p>
            <w:pPr>
              <w:spacing w:line="420" w:lineRule="exac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（2）声环境：</w:t>
            </w:r>
            <w:r>
              <w:rPr>
                <w:rFonts w:hint="default" w:ascii="Times New Roman" w:hAnsi="Times New Roman" w:eastAsia="宋体" w:cs="Times New Roman"/>
                <w:color w:val="000000" w:themeColor="text1"/>
                <w:sz w:val="24"/>
                <w14:textFill>
                  <w14:solidFill>
                    <w14:schemeClr w14:val="tx1"/>
                  </w14:solidFill>
                </w14:textFill>
              </w:rPr>
              <w:t>明确厂界外50米范围内声环境保护目标。</w:t>
            </w:r>
          </w:p>
          <w:p>
            <w:pPr>
              <w:spacing w:line="420" w:lineRule="exact"/>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（3）地下水：项目区域厂界外500米范围内的没有地下水集中式饮用水水源和热水、矿泉水、温泉等特殊地下水资源，故本项目无地下水环境保护目标。</w:t>
            </w:r>
          </w:p>
          <w:p>
            <w:pPr>
              <w:spacing w:line="420" w:lineRule="exact"/>
              <w:ind w:firstLine="480" w:firstLineChars="200"/>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（4）生态环境：</w:t>
            </w:r>
            <w:r>
              <w:rPr>
                <w:color w:val="auto"/>
                <w:sz w:val="24"/>
                <w:szCs w:val="24"/>
                <w:highlight w:val="none"/>
                <w:u w:val="none"/>
              </w:rPr>
              <w:t>项目位于</w:t>
            </w:r>
            <w:r>
              <w:rPr>
                <w:rFonts w:hint="eastAsia" w:cs="Times New Roman"/>
                <w:color w:val="000000" w:themeColor="text1"/>
                <w:sz w:val="24"/>
                <w:lang w:val="en-US" w:eastAsia="zh-CN"/>
                <w14:textFill>
                  <w14:solidFill>
                    <w14:schemeClr w14:val="tx1"/>
                  </w14:solidFill>
                </w14:textFill>
              </w:rPr>
              <w:t>柳州市鹿寨县中渡镇马安村下拉屯</w:t>
            </w:r>
            <w:r>
              <w:rPr>
                <w:rFonts w:hint="eastAsia"/>
                <w:color w:val="auto"/>
                <w:sz w:val="24"/>
                <w:szCs w:val="24"/>
                <w:highlight w:val="none"/>
                <w:u w:val="none"/>
              </w:rPr>
              <w:t>，</w:t>
            </w:r>
            <w:r>
              <w:rPr>
                <w:color w:val="auto"/>
                <w:sz w:val="24"/>
                <w:szCs w:val="24"/>
                <w:highlight w:val="none"/>
                <w:u w:val="none"/>
              </w:rPr>
              <w:t>周边区域人类活动频繁，周边植被多为</w:t>
            </w:r>
            <w:r>
              <w:rPr>
                <w:rFonts w:hint="eastAsia"/>
                <w:color w:val="auto"/>
                <w:sz w:val="24"/>
                <w:szCs w:val="24"/>
                <w:highlight w:val="none"/>
                <w:u w:val="none"/>
                <w:lang w:val="en-US" w:eastAsia="zh-CN"/>
              </w:rPr>
              <w:t>一般植被</w:t>
            </w:r>
            <w:r>
              <w:rPr>
                <w:color w:val="auto"/>
                <w:sz w:val="24"/>
                <w:szCs w:val="24"/>
                <w:highlight w:val="none"/>
                <w:u w:val="none"/>
              </w:rPr>
              <w:t>。区域动植物稀少，原生生态系统薄弱，评价区域无珍稀动植物分布，生态环境一般，不属于生态敏感区</w:t>
            </w:r>
            <w:r>
              <w:rPr>
                <w:rFonts w:hint="default" w:ascii="Times New Roman" w:hAnsi="Times New Roman" w:eastAsia="宋体" w:cs="Times New Roman"/>
                <w:color w:val="000000" w:themeColor="text1"/>
                <w:sz w:val="24"/>
                <w:szCs w:val="32"/>
                <w14:textFill>
                  <w14:solidFill>
                    <w14:schemeClr w14:val="tx1"/>
                  </w14:solidFill>
                </w14:textFill>
              </w:rPr>
              <w:t>。</w:t>
            </w:r>
            <w:r>
              <w:rPr>
                <w:rFonts w:hint="default" w:ascii="Times New Roman" w:hAnsi="Times New Roman" w:eastAsia="宋体" w:cs="Times New Roman"/>
                <w:color w:val="000000" w:themeColor="text1"/>
                <w:sz w:val="24"/>
                <w:szCs w:val="21"/>
                <w14:textFill>
                  <w14:solidFill>
                    <w14:schemeClr w14:val="tx1"/>
                  </w14:solidFill>
                </w14:textFill>
              </w:rPr>
              <w:t>项目主要环境保护目标见下表。</w:t>
            </w:r>
          </w:p>
          <w:p>
            <w:pPr>
              <w:adjustRightInd w:val="0"/>
              <w:snapToGrid w:val="0"/>
              <w:jc w:val="center"/>
              <w:rPr>
                <w:rFonts w:hint="default" w:ascii="Times New Roman" w:hAnsi="Times New Roman" w:eastAsia="宋体" w:cs="Times New Roman"/>
                <w:b/>
                <w:color w:val="000000" w:themeColor="text1"/>
                <w:spacing w:val="20"/>
                <w:sz w:val="22"/>
                <w:szCs w:val="21"/>
                <w:highlight w:val="none"/>
                <w14:textFill>
                  <w14:solidFill>
                    <w14:schemeClr w14:val="tx1"/>
                  </w14:solidFill>
                </w14:textFill>
              </w:rPr>
            </w:pPr>
            <w:r>
              <w:rPr>
                <w:rFonts w:hint="default" w:ascii="Times New Roman" w:hAnsi="Times New Roman" w:eastAsia="宋体" w:cs="Times New Roman"/>
                <w:b/>
                <w:color w:val="000000" w:themeColor="text1"/>
                <w:spacing w:val="20"/>
                <w:sz w:val="22"/>
                <w:szCs w:val="21"/>
                <w:highlight w:val="none"/>
                <w14:textFill>
                  <w14:solidFill>
                    <w14:schemeClr w14:val="tx1"/>
                  </w14:solidFill>
                </w14:textFill>
              </w:rPr>
              <w:t>表3-5   主要环境保护目标一览表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267"/>
              <w:gridCol w:w="1107"/>
              <w:gridCol w:w="1310"/>
              <w:gridCol w:w="1267"/>
              <w:gridCol w:w="1370"/>
              <w:gridCol w:w="809"/>
              <w:gridCol w:w="991"/>
              <w:gridCol w:w="12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68" w:hRule="atLeast"/>
                <w:jc w:val="center"/>
              </w:trPr>
              <w:tc>
                <w:tcPr>
                  <w:tcW w:w="267"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环境要素</w:t>
                  </w:r>
                </w:p>
              </w:tc>
              <w:tc>
                <w:tcPr>
                  <w:tcW w:w="1170"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588" w:type="dxa"/>
                  <w:gridSpan w:val="2"/>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坐标</w:t>
                  </w:r>
                </w:p>
              </w:tc>
              <w:tc>
                <w:tcPr>
                  <w:tcW w:w="1437"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保护功能及规模</w:t>
                  </w:r>
                </w:p>
              </w:tc>
              <w:tc>
                <w:tcPr>
                  <w:tcW w:w="850"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相对厂址方位</w:t>
                  </w:r>
                </w:p>
              </w:tc>
              <w:tc>
                <w:tcPr>
                  <w:tcW w:w="1025"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相对厂界距离/m</w:t>
                  </w:r>
                </w:p>
              </w:tc>
              <w:tc>
                <w:tcPr>
                  <w:tcW w:w="1042"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67"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170"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13"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东经</w:t>
                  </w:r>
                </w:p>
              </w:tc>
              <w:tc>
                <w:tcPr>
                  <w:tcW w:w="1275"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北纬</w:t>
                  </w:r>
                </w:p>
              </w:tc>
              <w:tc>
                <w:tcPr>
                  <w:tcW w:w="1437"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0"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25"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42"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67" w:type="dxa"/>
                  <w:vMerge w:val="restart"/>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大气环境</w:t>
                  </w:r>
                </w:p>
              </w:tc>
              <w:tc>
                <w:tcPr>
                  <w:tcW w:w="117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散户</w:t>
                  </w:r>
                  <w:r>
                    <w:rPr>
                      <w:rFonts w:hint="default" w:ascii="Times New Roman" w:hAnsi="Times New Roman" w:eastAsia="宋体" w:cs="Times New Roman"/>
                      <w:color w:val="000000" w:themeColor="text1"/>
                      <w:sz w:val="21"/>
                      <w:szCs w:val="21"/>
                      <w14:textFill>
                        <w14:solidFill>
                          <w14:schemeClr w14:val="tx1"/>
                        </w14:solidFill>
                      </w14:textFill>
                    </w:rPr>
                    <w:t>居民</w:t>
                  </w:r>
                </w:p>
              </w:tc>
              <w:tc>
                <w:tcPr>
                  <w:tcW w:w="13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109.70836759</w:t>
                  </w:r>
                </w:p>
              </w:tc>
              <w:tc>
                <w:tcPr>
                  <w:tcW w:w="12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24.70527779</w:t>
                  </w:r>
                </w:p>
              </w:tc>
              <w:tc>
                <w:tcPr>
                  <w:tcW w:w="1437"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户约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85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东北</w:t>
                  </w:r>
                </w:p>
              </w:tc>
              <w:tc>
                <w:tcPr>
                  <w:tcW w:w="1025"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w:t>
                  </w:r>
                </w:p>
              </w:tc>
              <w:tc>
                <w:tcPr>
                  <w:tcW w:w="1042" w:type="dxa"/>
                  <w:vMerge w:val="restart"/>
                  <w:vAlign w:val="center"/>
                </w:tcPr>
                <w:p>
                  <w:pPr>
                    <w:pStyle w:val="4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w:t>
                  </w:r>
                </w:p>
                <w:p>
                  <w:pPr>
                    <w:pStyle w:val="4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-2012）中二级标准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67"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17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坡村</w:t>
                  </w:r>
                  <w:r>
                    <w:rPr>
                      <w:rFonts w:hint="default" w:ascii="Times New Roman" w:hAnsi="Times New Roman" w:eastAsia="宋体" w:cs="Times New Roman"/>
                      <w:color w:val="000000" w:themeColor="text1"/>
                      <w:sz w:val="21"/>
                      <w:szCs w:val="21"/>
                      <w14:textFill>
                        <w14:solidFill>
                          <w14:schemeClr w14:val="tx1"/>
                        </w14:solidFill>
                      </w14:textFill>
                    </w:rPr>
                    <w:t>居民</w:t>
                  </w:r>
                </w:p>
              </w:tc>
              <w:tc>
                <w:tcPr>
                  <w:tcW w:w="13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109.71060991</w:t>
                  </w:r>
                </w:p>
              </w:tc>
              <w:tc>
                <w:tcPr>
                  <w:tcW w:w="12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24.69907865</w:t>
                  </w:r>
                </w:p>
              </w:tc>
              <w:tc>
                <w:tcPr>
                  <w:tcW w:w="1437"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449</w:t>
                  </w:r>
                  <w:r>
                    <w:rPr>
                      <w:rFonts w:hint="default" w:ascii="Times New Roman" w:hAnsi="Times New Roman" w:eastAsia="宋体" w:cs="Times New Roman"/>
                      <w:color w:val="000000" w:themeColor="text1"/>
                      <w:sz w:val="21"/>
                      <w:szCs w:val="21"/>
                      <w14:textFill>
                        <w14:solidFill>
                          <w14:schemeClr w14:val="tx1"/>
                        </w14:solidFill>
                      </w14:textFill>
                    </w:rPr>
                    <w:t>户约</w:t>
                  </w:r>
                  <w:r>
                    <w:rPr>
                      <w:rFonts w:hint="eastAsia" w:ascii="Times New Roman" w:hAnsi="Times New Roman" w:cs="Times New Roman"/>
                      <w:color w:val="000000" w:themeColor="text1"/>
                      <w:sz w:val="21"/>
                      <w:szCs w:val="21"/>
                      <w:lang w:val="en-US" w:eastAsia="zh-CN"/>
                      <w14:textFill>
                        <w14:solidFill>
                          <w14:schemeClr w14:val="tx1"/>
                        </w14:solidFill>
                      </w14:textFill>
                    </w:rPr>
                    <w:t>1187</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85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r>
                    <w:rPr>
                      <w:rFonts w:hint="eastAsia" w:ascii="Times New Roman" w:hAnsi="Times New Roman" w:cs="Times New Roman"/>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14:textFill>
                        <w14:solidFill>
                          <w14:schemeClr w14:val="tx1"/>
                        </w14:solidFill>
                      </w14:textFill>
                    </w:rPr>
                    <w:t>侧</w:t>
                  </w:r>
                </w:p>
              </w:tc>
              <w:tc>
                <w:tcPr>
                  <w:tcW w:w="102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w:t>
                  </w:r>
                </w:p>
              </w:tc>
              <w:tc>
                <w:tcPr>
                  <w:tcW w:w="1042" w:type="dxa"/>
                  <w:vMerge w:val="continue"/>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67"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声环境</w:t>
                  </w:r>
                </w:p>
              </w:tc>
              <w:tc>
                <w:tcPr>
                  <w:tcW w:w="8112" w:type="dxa"/>
                  <w:gridSpan w:val="7"/>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根据现场勘查发现：</w:t>
                  </w:r>
                  <w:r>
                    <w:rPr>
                      <w:rFonts w:hint="default" w:ascii="Times New Roman" w:hAnsi="Times New Roman" w:eastAsia="宋体" w:cs="Times New Roman"/>
                      <w:bCs/>
                      <w:color w:val="000000" w:themeColor="text1"/>
                      <w:sz w:val="21"/>
                      <w:szCs w:val="21"/>
                      <w14:textFill>
                        <w14:solidFill>
                          <w14:schemeClr w14:val="tx1"/>
                        </w14:solidFill>
                      </w14:textFill>
                    </w:rPr>
                    <w:t>本项目厂界外50米范围内无声环境保护目标分布</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67"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地表水</w:t>
                  </w:r>
                </w:p>
              </w:tc>
              <w:tc>
                <w:tcPr>
                  <w:tcW w:w="117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黄蜡河</w:t>
                  </w:r>
                </w:p>
              </w:tc>
              <w:tc>
                <w:tcPr>
                  <w:tcW w:w="13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109.71027195</w:t>
                  </w:r>
                </w:p>
              </w:tc>
              <w:tc>
                <w:tcPr>
                  <w:tcW w:w="12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24.70297751</w:t>
                  </w:r>
                </w:p>
              </w:tc>
              <w:tc>
                <w:tcPr>
                  <w:tcW w:w="1437"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农业用水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III类，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小河</w:t>
                  </w:r>
                </w:p>
              </w:tc>
              <w:tc>
                <w:tcPr>
                  <w:tcW w:w="850"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面</w:t>
                  </w:r>
                </w:p>
              </w:tc>
              <w:tc>
                <w:tcPr>
                  <w:tcW w:w="1025"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Cs/>
                      <w:color w:val="000000" w:themeColor="text1"/>
                      <w:sz w:val="21"/>
                      <w:szCs w:val="21"/>
                      <w14:textFill>
                        <w14:solidFill>
                          <w14:schemeClr w14:val="tx1"/>
                        </w14:solidFill>
                      </w14:textFill>
                    </w:rPr>
                    <w:t>m</w:t>
                  </w:r>
                </w:p>
              </w:tc>
              <w:tc>
                <w:tcPr>
                  <w:tcW w:w="1042" w:type="dxa"/>
                  <w:vAlign w:val="center"/>
                </w:tcPr>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《地表水环境质量标准》GB3838-2002</w:t>
                  </w:r>
                </w:p>
                <w:p>
                  <w:pPr>
                    <w:pStyle w:val="93"/>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III类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437"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地下水</w:t>
                  </w:r>
                </w:p>
              </w:tc>
              <w:tc>
                <w:tcPr>
                  <w:tcW w:w="6942" w:type="dxa"/>
                  <w:gridSpan w:val="6"/>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厂界外500m范围内无地下水集中式饮用水水源、热水、矿泉水、温泉等特殊地下水资源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437"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w:t>
                  </w:r>
                </w:p>
              </w:tc>
              <w:tc>
                <w:tcPr>
                  <w:tcW w:w="6942" w:type="dxa"/>
                  <w:gridSpan w:val="6"/>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14:textFill>
                        <w14:solidFill>
                          <w14:schemeClr w14:val="tx1"/>
                        </w14:solidFill>
                      </w14:textFill>
                    </w:rPr>
                    <w:t>本项目用地范围内无生态环境保护目标。</w:t>
                  </w:r>
                </w:p>
              </w:tc>
            </w:tr>
          </w:tbl>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244" w:type="pct"/>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物排</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放控</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制标</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准</w:t>
            </w:r>
          </w:p>
        </w:tc>
        <w:tc>
          <w:tcPr>
            <w:tcW w:w="4755" w:type="pct"/>
            <w:vAlign w:val="center"/>
          </w:tcPr>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bookmarkStart w:id="42" w:name="排水路径"/>
            <w:r>
              <w:rPr>
                <w:rFonts w:hint="default" w:ascii="Times New Roman" w:hAnsi="Times New Roman" w:eastAsia="宋体" w:cs="Times New Roman"/>
                <w:b/>
                <w:bCs/>
                <w:color w:val="000000" w:themeColor="text1"/>
                <w:sz w:val="24"/>
                <w14:textFill>
                  <w14:solidFill>
                    <w14:schemeClr w14:val="tx1"/>
                  </w14:solidFill>
                </w14:textFill>
              </w:rPr>
              <w:t>1、废水</w:t>
            </w:r>
          </w:p>
          <w:bookmarkEnd w:id="42"/>
          <w:p>
            <w:pPr>
              <w:autoSpaceDE w:val="0"/>
              <w:snapToGrid w:val="0"/>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eastAsia="zh-CN"/>
                <w14:textFill>
                  <w14:solidFill>
                    <w14:schemeClr w14:val="tx1"/>
                  </w14:solidFill>
                </w14:textFill>
              </w:rPr>
              <w:t>生活污水</w:t>
            </w:r>
            <w:r>
              <w:rPr>
                <w:rFonts w:hint="default" w:ascii="Times New Roman" w:hAnsi="Times New Roman" w:eastAsia="宋体" w:cs="Times New Roman"/>
                <w:color w:val="000000" w:themeColor="text1"/>
                <w:sz w:val="24"/>
                <w14:textFill>
                  <w14:solidFill>
                    <w14:schemeClr w14:val="tx1"/>
                  </w14:solidFill>
                </w14:textFill>
              </w:rPr>
              <w:t>经化粪池预处理后与生产废水一同排入厂内</w:t>
            </w:r>
            <w:r>
              <w:rPr>
                <w:rFonts w:hint="eastAsia" w:cs="Times New Roman"/>
                <w:color w:val="000000" w:themeColor="text1"/>
                <w:sz w:val="24"/>
                <w:lang w:val="en-US" w:eastAsia="zh-CN"/>
                <w14:textFill>
                  <w14:solidFill>
                    <w14:schemeClr w14:val="tx1"/>
                  </w14:solidFill>
                </w14:textFill>
              </w:rPr>
              <w:t>污水处理站</w:t>
            </w:r>
            <w:r>
              <w:rPr>
                <w:rFonts w:hint="default" w:ascii="Times New Roman" w:hAnsi="Times New Roman" w:eastAsia="宋体" w:cs="Times New Roman"/>
                <w:color w:val="000000" w:themeColor="text1"/>
                <w:sz w:val="24"/>
                <w14:textFill>
                  <w14:solidFill>
                    <w14:schemeClr w14:val="tx1"/>
                  </w14:solidFill>
                </w14:textFill>
              </w:rPr>
              <w:t>处理</w:t>
            </w:r>
            <w:r>
              <w:rPr>
                <w:rFonts w:hint="eastAsia" w:cs="Times New Roman"/>
                <w:color w:val="000000" w:themeColor="text1"/>
                <w:sz w:val="24"/>
                <w:lang w:val="en-US" w:eastAsia="zh-CN"/>
                <w14:textFill>
                  <w14:solidFill>
                    <w14:schemeClr w14:val="tx1"/>
                  </w14:solidFill>
                </w14:textFill>
              </w:rPr>
              <w:t>后排入黄蜡河流。废水排放执行《污水综合排放标准》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表4中一级标准</w:t>
            </w:r>
            <w:r>
              <w:rPr>
                <w:rFonts w:hint="default" w:ascii="Times New Roman" w:hAnsi="Times New Roman" w:eastAsia="宋体" w:cs="Times New Roman"/>
                <w:color w:val="000000" w:themeColor="text1"/>
                <w:sz w:val="24"/>
                <w14:textFill>
                  <w14:solidFill>
                    <w14:schemeClr w14:val="tx1"/>
                  </w14:solidFill>
                </w14:textFill>
              </w:rPr>
              <w:t>。</w:t>
            </w:r>
          </w:p>
          <w:p>
            <w:pPr>
              <w:jc w:val="center"/>
              <w:rPr>
                <w:rFonts w:hint="default" w:ascii="Times New Roman" w:hAnsi="Times New Roman" w:eastAsia="宋体" w:cs="Times New Roman"/>
                <w:b/>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
                <w:snapToGrid w:val="0"/>
                <w:color w:val="000000" w:themeColor="text1"/>
                <w:sz w:val="24"/>
                <w14:textFill>
                  <w14:solidFill>
                    <w14:schemeClr w14:val="tx1"/>
                  </w14:solidFill>
                </w14:textFill>
              </w:rPr>
              <w:t xml:space="preserve">表3-6  </w:t>
            </w:r>
            <w:r>
              <w:rPr>
                <w:rFonts w:hint="eastAsia" w:cs="Times New Roman"/>
                <w:color w:val="000000" w:themeColor="text1"/>
                <w:sz w:val="24"/>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b/>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
                <w:snapToGrid w:val="0"/>
                <w:color w:val="000000" w:themeColor="text1"/>
                <w:sz w:val="24"/>
                <w:lang w:val="en-US" w:eastAsia="zh-CN"/>
                <w14:textFill>
                  <w14:solidFill>
                    <w14:schemeClr w14:val="tx1"/>
                  </w14:solidFill>
                </w14:textFill>
              </w:rPr>
              <w:t>部分摘要）</w:t>
            </w:r>
          </w:p>
          <w:p>
            <w:pPr>
              <w:jc w:val="right"/>
              <w:rPr>
                <w:rFonts w:hint="default" w:ascii="Times New Roman" w:hAnsi="Times New Roman" w:eastAsia="宋体" w:cs="Times New Roman"/>
                <w:b/>
                <w:snapToGrid w:val="0"/>
                <w:color w:val="000000" w:themeColor="text1"/>
                <w:szCs w:val="21"/>
                <w14:textFill>
                  <w14:solidFill>
                    <w14:schemeClr w14:val="tx1"/>
                  </w14:solidFill>
                </w14:textFill>
              </w:rPr>
            </w:pPr>
            <w:r>
              <w:rPr>
                <w:rFonts w:hint="default" w:ascii="Times New Roman" w:hAnsi="Times New Roman" w:eastAsia="宋体" w:cs="Times New Roman"/>
                <w:b/>
                <w:snapToGrid w:val="0"/>
                <w:color w:val="000000" w:themeColor="text1"/>
                <w:szCs w:val="21"/>
                <w14:textFill>
                  <w14:solidFill>
                    <w14:schemeClr w14:val="tx1"/>
                  </w14:solidFill>
                </w14:textFill>
              </w:rPr>
              <w:t>单位：mg/L</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59"/>
              <w:gridCol w:w="795"/>
              <w:gridCol w:w="1140"/>
              <w:gridCol w:w="900"/>
              <w:gridCol w:w="122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vAlign w:val="center"/>
                </w:tcPr>
                <w:p>
                  <w:pPr>
                    <w:autoSpaceDE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930" w:type="pct"/>
                  <w:vAlign w:val="center"/>
                </w:tcPr>
                <w:p>
                  <w:pPr>
                    <w:autoSpaceDE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pH</w:t>
                  </w:r>
                </w:p>
              </w:tc>
              <w:tc>
                <w:tcPr>
                  <w:tcW w:w="474" w:type="pct"/>
                  <w:vAlign w:val="center"/>
                </w:tcPr>
                <w:p>
                  <w:pPr>
                    <w:autoSpaceDE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COD</w:t>
                  </w:r>
                </w:p>
              </w:tc>
              <w:tc>
                <w:tcPr>
                  <w:tcW w:w="680" w:type="pct"/>
                  <w:vAlign w:val="center"/>
                </w:tcPr>
                <w:p>
                  <w:pPr>
                    <w:autoSpaceDE w:val="0"/>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BOD</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5</w:t>
                  </w:r>
                </w:p>
              </w:tc>
              <w:tc>
                <w:tcPr>
                  <w:tcW w:w="537" w:type="pct"/>
                  <w:vAlign w:val="center"/>
                </w:tcPr>
                <w:p>
                  <w:pPr>
                    <w:autoSpaceDE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NH</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-N</w:t>
                  </w:r>
                </w:p>
              </w:tc>
              <w:tc>
                <w:tcPr>
                  <w:tcW w:w="733" w:type="pct"/>
                  <w:vAlign w:val="center"/>
                </w:tcPr>
                <w:p>
                  <w:pPr>
                    <w:autoSpaceDE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悬浮物</w:t>
                  </w:r>
                </w:p>
              </w:tc>
              <w:tc>
                <w:tcPr>
                  <w:tcW w:w="878" w:type="pct"/>
                  <w:vAlign w:val="center"/>
                </w:tcPr>
                <w:p>
                  <w:pPr>
                    <w:autoSpaceDE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vAlign w:val="center"/>
                </w:tcPr>
                <w:p>
                  <w:pPr>
                    <w:autoSpaceDE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p>
              </w:tc>
              <w:tc>
                <w:tcPr>
                  <w:tcW w:w="930" w:type="pct"/>
                  <w:vAlign w:val="center"/>
                </w:tcPr>
                <w:p>
                  <w:pPr>
                    <w:autoSpaceDE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r>
                    <w:rPr>
                      <w:rFonts w:hint="default" w:ascii="Times New Roman" w:hAnsi="Times New Roman" w:eastAsia="宋体" w:cs="Times New Roman"/>
                      <w:color w:val="000000" w:themeColor="text1"/>
                      <w:sz w:val="21"/>
                      <w:szCs w:val="21"/>
                      <w14:textFill>
                        <w14:solidFill>
                          <w14:schemeClr w14:val="tx1"/>
                        </w14:solidFill>
                      </w14:textFill>
                    </w:rPr>
                    <w:t>无量纲</w:t>
                  </w:r>
                  <w:r>
                    <w:rPr>
                      <w:rFonts w:hint="eastAsia" w:cs="Times New Roman"/>
                      <w:color w:val="000000" w:themeColor="text1"/>
                      <w:sz w:val="21"/>
                      <w:szCs w:val="21"/>
                      <w:lang w:eastAsia="zh-CN"/>
                      <w14:textFill>
                        <w14:solidFill>
                          <w14:schemeClr w14:val="tx1"/>
                        </w14:solidFill>
                      </w14:textFill>
                    </w:rPr>
                    <w:t>）</w:t>
                  </w:r>
                </w:p>
              </w:tc>
              <w:tc>
                <w:tcPr>
                  <w:tcW w:w="474" w:type="pct"/>
                  <w:vAlign w:val="center"/>
                </w:tcPr>
                <w:p>
                  <w:pPr>
                    <w:autoSpaceDE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00</w:t>
                  </w:r>
                </w:p>
              </w:tc>
              <w:tc>
                <w:tcPr>
                  <w:tcW w:w="680" w:type="pct"/>
                  <w:vAlign w:val="center"/>
                </w:tcPr>
                <w:p>
                  <w:pPr>
                    <w:autoSpaceDE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537" w:type="pct"/>
                  <w:vAlign w:val="center"/>
                </w:tcPr>
                <w:p>
                  <w:pPr>
                    <w:autoSpaceDE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733" w:type="pct"/>
                  <w:vAlign w:val="center"/>
                </w:tcPr>
                <w:p>
                  <w:pPr>
                    <w:autoSpaceDE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878" w:type="pct"/>
                  <w:vAlign w:val="center"/>
                </w:tcPr>
                <w:p>
                  <w:pPr>
                    <w:autoSpaceDE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bl>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2、废气</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本项目运营期锅炉废气排放</w:t>
            </w:r>
            <w:r>
              <w:rPr>
                <w:rFonts w:hint="default" w:ascii="Times New Roman" w:hAnsi="Times New Roman" w:eastAsia="宋体" w:cs="Times New Roman"/>
                <w:color w:val="000000" w:themeColor="text1"/>
                <w:sz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14:textFill>
                  <w14:solidFill>
                    <w14:schemeClr w14:val="tx1"/>
                  </w14:solidFill>
                </w14:textFill>
              </w:rPr>
              <w:t>《锅炉大气污染物排放标准》（GB13271-2014）中表2燃煤锅炉标准执行；</w:t>
            </w:r>
            <w:r>
              <w:rPr>
                <w:rFonts w:hint="default" w:ascii="Times New Roman" w:hAnsi="Times New Roman" w:eastAsia="宋体" w:cs="Times New Roman"/>
                <w:color w:val="000000" w:themeColor="text1"/>
                <w:sz w:val="24"/>
                <w:lang w:val="en-US" w:eastAsia="zh-CN"/>
                <w14:textFill>
                  <w14:solidFill>
                    <w14:schemeClr w14:val="tx1"/>
                  </w14:solidFill>
                </w14:textFill>
              </w:rPr>
              <w:t>无组织粉尘</w:t>
            </w:r>
            <w:r>
              <w:rPr>
                <w:rFonts w:hint="default" w:ascii="Times New Roman" w:hAnsi="Times New Roman" w:eastAsia="宋体" w:cs="Times New Roman"/>
                <w:color w:val="000000" w:themeColor="text1"/>
                <w:sz w:val="24"/>
                <w14:textFill>
                  <w14:solidFill>
                    <w14:schemeClr w14:val="tx1"/>
                  </w14:solidFill>
                </w14:textFill>
              </w:rPr>
              <w:t>执行《大气污染物综合排放标准》（GB16297-1996）中表2相关标准；恶臭执行《恶臭污染物排放标准》（GB14554-1993）二级新扩改建标准</w:t>
            </w:r>
            <w:r>
              <w:rPr>
                <w:rFonts w:hint="eastAsia" w:cs="Times New Roman"/>
                <w:color w:val="000000" w:themeColor="text1"/>
                <w:sz w:val="24"/>
                <w:lang w:eastAsia="zh-CN"/>
                <w14:textFill>
                  <w14:solidFill>
                    <w14:schemeClr w14:val="tx1"/>
                  </w14:solidFill>
                </w14:textFill>
              </w:rPr>
              <w:t>；</w:t>
            </w:r>
            <w:r>
              <w:rPr>
                <w:rFonts w:hint="eastAsia" w:cs="宋体"/>
                <w:color w:val="auto"/>
                <w:sz w:val="24"/>
                <w:highlight w:val="none"/>
                <w:lang w:eastAsia="zh-CN"/>
              </w:rPr>
              <w:t>食堂油烟执行《饮食业油烟排放标准（试行）》</w:t>
            </w:r>
            <w:r>
              <w:rPr>
                <w:rFonts w:hint="eastAsia" w:cs="宋体"/>
                <w:color w:val="auto"/>
                <w:sz w:val="24"/>
                <w:highlight w:val="none"/>
              </w:rPr>
              <w:t>（GB</w:t>
            </w:r>
            <w:r>
              <w:rPr>
                <w:rFonts w:hint="eastAsia" w:cs="宋体"/>
                <w:color w:val="auto"/>
                <w:sz w:val="24"/>
                <w:highlight w:val="none"/>
                <w:lang w:val="en-US" w:eastAsia="zh-CN"/>
              </w:rPr>
              <w:t>18483-2001</w:t>
            </w:r>
            <w:r>
              <w:rPr>
                <w:rFonts w:hint="eastAsia" w:cs="宋体"/>
                <w:color w:val="auto"/>
                <w:sz w:val="24"/>
                <w:highlight w:val="none"/>
              </w:rPr>
              <w:t>）</w:t>
            </w:r>
            <w:r>
              <w:rPr>
                <w:rFonts w:hint="eastAsia" w:cs="宋体"/>
                <w:color w:val="auto"/>
                <w:sz w:val="24"/>
                <w:highlight w:val="none"/>
                <w:lang w:eastAsia="zh-CN"/>
              </w:rPr>
              <w:t>中大型标准</w:t>
            </w:r>
            <w:r>
              <w:rPr>
                <w:rFonts w:hint="default" w:ascii="Times New Roman" w:hAnsi="Times New Roman" w:eastAsia="宋体" w:cs="Times New Roman"/>
                <w:color w:val="000000" w:themeColor="text1"/>
                <w:sz w:val="24"/>
                <w14:textFill>
                  <w14:solidFill>
                    <w14:schemeClr w14:val="tx1"/>
                  </w14:solidFill>
                </w14:textFill>
              </w:rPr>
              <w:t>：具体标准值如下表：</w:t>
            </w:r>
          </w:p>
          <w:p>
            <w:pPr>
              <w:ind w:left="482"/>
              <w:jc w:val="center"/>
              <w:rPr>
                <w:rFonts w:hint="default" w:ascii="Times New Roman" w:hAnsi="Times New Roman" w:eastAsia="宋体" w:cs="Times New Roman"/>
                <w:b/>
                <w:bCs/>
                <w:color w:val="000000" w:themeColor="text1"/>
                <w:kern w:val="0"/>
                <w:sz w:val="24"/>
                <w14:textFill>
                  <w14:solidFill>
                    <w14:schemeClr w14:val="tx1"/>
                  </w14:solidFill>
                </w14:textFill>
              </w:rPr>
            </w:pPr>
            <w:bookmarkStart w:id="43" w:name="_Ref3284"/>
            <w:r>
              <w:rPr>
                <w:rFonts w:hint="default" w:ascii="Times New Roman" w:hAnsi="Times New Roman" w:eastAsia="宋体" w:cs="Times New Roman"/>
                <w:b/>
                <w:bCs/>
                <w:color w:val="000000" w:themeColor="text1"/>
                <w:kern w:val="0"/>
                <w:sz w:val="24"/>
                <w14:textFill>
                  <w14:solidFill>
                    <w14:schemeClr w14:val="tx1"/>
                  </w14:solidFill>
                </w14:textFill>
              </w:rPr>
              <w:t>表3-7   蒸汽</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锅炉</w:t>
            </w:r>
            <w:r>
              <w:rPr>
                <w:rFonts w:hint="default" w:ascii="Times New Roman" w:hAnsi="Times New Roman" w:eastAsia="宋体" w:cs="Times New Roman"/>
                <w:b/>
                <w:bCs/>
                <w:color w:val="000000" w:themeColor="text1"/>
                <w:kern w:val="0"/>
                <w:sz w:val="24"/>
                <w14:textFill>
                  <w14:solidFill>
                    <w14:schemeClr w14:val="tx1"/>
                  </w14:solidFill>
                </w14:textFill>
              </w:rPr>
              <w:t>燃烧废气污染物排放标准</w:t>
            </w:r>
            <w:bookmarkEnd w:id="43"/>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38"/>
              <w:gridCol w:w="638"/>
              <w:gridCol w:w="2616"/>
              <w:gridCol w:w="1822"/>
              <w:gridCol w:w="14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Align w:val="center"/>
                </w:tcPr>
                <w:p>
                  <w:pPr>
                    <w:overflowPunct w:val="0"/>
                    <w:topLinePunct/>
                    <w:autoSpaceDE w:val="0"/>
                    <w:snapToGrid w:val="0"/>
                    <w:jc w:val="center"/>
                    <w:rPr>
                      <w:rFonts w:hint="default" w:ascii="Times New Roman" w:hAnsi="Times New Roman" w:eastAsia="宋体" w:cs="Times New Roman"/>
                      <w:b/>
                      <w:bCs/>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标准名称</w:t>
                  </w:r>
                </w:p>
              </w:tc>
              <w:tc>
                <w:tcPr>
                  <w:tcW w:w="1949" w:type="pct"/>
                  <w:gridSpan w:val="2"/>
                  <w:vAlign w:val="center"/>
                </w:tcPr>
                <w:p>
                  <w:pPr>
                    <w:overflowPunct w:val="0"/>
                    <w:topLinePunct/>
                    <w:autoSpaceDE w:val="0"/>
                    <w:snapToGrid w:val="0"/>
                    <w:jc w:val="center"/>
                    <w:rPr>
                      <w:rFonts w:hint="default" w:ascii="Times New Roman" w:hAnsi="Times New Roman" w:eastAsia="宋体" w:cs="Times New Roman"/>
                      <w:b/>
                      <w:bCs/>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级别</w:t>
                  </w:r>
                </w:p>
              </w:tc>
              <w:tc>
                <w:tcPr>
                  <w:tcW w:w="1091" w:type="pct"/>
                  <w:vAlign w:val="center"/>
                </w:tcPr>
                <w:p>
                  <w:pPr>
                    <w:overflowPunct w:val="0"/>
                    <w:topLinePunct/>
                    <w:autoSpaceDE w:val="0"/>
                    <w:snapToGrid w:val="0"/>
                    <w:jc w:val="center"/>
                    <w:rPr>
                      <w:rFonts w:hint="default" w:ascii="Times New Roman" w:hAnsi="Times New Roman" w:eastAsia="宋体" w:cs="Times New Roman"/>
                      <w:b/>
                      <w:bCs/>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污染物</w:t>
                  </w:r>
                </w:p>
              </w:tc>
              <w:tc>
                <w:tcPr>
                  <w:tcW w:w="873" w:type="pct"/>
                  <w:vAlign w:val="center"/>
                </w:tcPr>
                <w:p>
                  <w:pPr>
                    <w:overflowPunct w:val="0"/>
                    <w:topLinePunct/>
                    <w:autoSpaceDE w:val="0"/>
                    <w:snapToGrid w:val="0"/>
                    <w:jc w:val="center"/>
                    <w:rPr>
                      <w:rFonts w:hint="default" w:ascii="Times New Roman" w:hAnsi="Times New Roman" w:eastAsia="宋体" w:cs="Times New Roman"/>
                      <w:b/>
                      <w:bCs/>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Merge w:val="restar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《锅炉大气污染物排放标准》（GB13271-2014）</w:t>
                  </w:r>
                </w:p>
              </w:tc>
              <w:tc>
                <w:tcPr>
                  <w:tcW w:w="384" w:type="pct"/>
                  <w:vMerge w:val="restar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燃煤</w:t>
                  </w:r>
                </w:p>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锅炉</w:t>
                  </w:r>
                </w:p>
              </w:tc>
              <w:tc>
                <w:tcPr>
                  <w:tcW w:w="1565" w:type="pct"/>
                  <w:vMerge w:val="restar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排放浓度限值</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pacing w:val="3"/>
                      <w:szCs w:val="21"/>
                      <w14:textFill>
                        <w14:solidFill>
                          <w14:schemeClr w14:val="tx1"/>
                        </w14:solidFill>
                      </w14:textFill>
                    </w:rPr>
                    <w:t>mg/m</w:t>
                  </w:r>
                  <w:r>
                    <w:rPr>
                      <w:rFonts w:hint="default" w:ascii="Times New Roman" w:hAnsi="Times New Roman" w:eastAsia="宋体" w:cs="Times New Roman"/>
                      <w:color w:val="000000" w:themeColor="text1"/>
                      <w:spacing w:val="3"/>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3"/>
                      <w:szCs w:val="21"/>
                      <w14:textFill>
                        <w14:solidFill>
                          <w14:schemeClr w14:val="tx1"/>
                        </w14:solidFill>
                      </w14:textFill>
                    </w:rPr>
                    <w:t>)</w:t>
                  </w:r>
                </w:p>
              </w:tc>
              <w:tc>
                <w:tcPr>
                  <w:tcW w:w="1091"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873"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84" w:type="pct"/>
                  <w:vMerge w:val="continue"/>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p>
              </w:tc>
              <w:tc>
                <w:tcPr>
                  <w:tcW w:w="156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091"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二氧化硫</w:t>
                  </w:r>
                </w:p>
              </w:tc>
              <w:tc>
                <w:tcPr>
                  <w:tcW w:w="873"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84" w:type="pct"/>
                  <w:vMerge w:val="continue"/>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p>
              </w:tc>
              <w:tc>
                <w:tcPr>
                  <w:tcW w:w="156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091" w:type="pc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氮氧化物</w:t>
                  </w:r>
                </w:p>
              </w:tc>
              <w:tc>
                <w:tcPr>
                  <w:tcW w:w="873"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84" w:type="pct"/>
                  <w:vMerge w:val="continue"/>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p>
              </w:tc>
              <w:tc>
                <w:tcPr>
                  <w:tcW w:w="1565" w:type="pc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林格曼黑度（级）</w:t>
                  </w:r>
                </w:p>
              </w:tc>
              <w:tc>
                <w:tcPr>
                  <w:tcW w:w="1091" w:type="pc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烟气黑度</w:t>
                  </w:r>
                </w:p>
              </w:tc>
              <w:tc>
                <w:tcPr>
                  <w:tcW w:w="873"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85" w:type="pct"/>
                  <w:vMerge w:val="continue"/>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84" w:type="pct"/>
                  <w:vMerge w:val="continue"/>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p>
              </w:tc>
              <w:tc>
                <w:tcPr>
                  <w:tcW w:w="1565" w:type="pc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烟囱最低允许高度</w:t>
                  </w:r>
                </w:p>
              </w:tc>
              <w:tc>
                <w:tcPr>
                  <w:tcW w:w="1091" w:type="pct"/>
                  <w:vAlign w:val="center"/>
                </w:tcPr>
                <w:p>
                  <w:pPr>
                    <w:overflowPunct w:val="0"/>
                    <w:topLinePunct/>
                    <w:autoSpaceDE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t/h</w:t>
                  </w:r>
                </w:p>
              </w:tc>
              <w:tc>
                <w:tcPr>
                  <w:tcW w:w="873" w:type="pct"/>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eastAsia" w:cs="Times New Roman"/>
                      <w:snapToGrid w:val="0"/>
                      <w:color w:val="000000" w:themeColor="text1"/>
                      <w:szCs w:val="21"/>
                      <w:lang w:val="en-US" w:eastAsia="zh-CN"/>
                      <w14:textFill>
                        <w14:solidFill>
                          <w14:schemeClr w14:val="tx1"/>
                        </w14:solidFill>
                      </w14:textFill>
                    </w:rPr>
                    <w:t>30</w:t>
                  </w:r>
                  <w:r>
                    <w:rPr>
                      <w:rFonts w:hint="default" w:ascii="Times New Roman" w:hAnsi="Times New Roman" w:eastAsia="宋体" w:cs="Times New Roman"/>
                      <w:snapToGrid w:val="0"/>
                      <w:color w:val="000000" w:themeColor="text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000" w:type="pct"/>
                  <w:gridSpan w:val="5"/>
                  <w:vAlign w:val="center"/>
                </w:tcPr>
                <w:p>
                  <w:pPr>
                    <w:overflowPunct w:val="0"/>
                    <w:topLinePunct/>
                    <w:autoSpaceDE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注：使用生物质成型燃料的锅炉，参照本标准中燃煤锅炉排放控制要求执行。</w:t>
                  </w:r>
                </w:p>
              </w:tc>
            </w:tr>
          </w:tbl>
          <w:p>
            <w:pPr>
              <w:ind w:left="482"/>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表3-8   大气污染物综合排放标准（摘录）</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86"/>
              <w:gridCol w:w="3506"/>
              <w:gridCol w:w="25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4" w:type="pct"/>
                  <w:vMerge w:val="restart"/>
                  <w:vAlign w:val="center"/>
                </w:tcPr>
                <w:p>
                  <w:pPr>
                    <w:jc w:val="center"/>
                    <w:rPr>
                      <w:rFonts w:hint="default" w:ascii="Times New Roman" w:hAnsi="Times New Roman" w:eastAsia="宋体" w:cs="Times New Roman"/>
                      <w:b/>
                      <w:bCs w:val="0"/>
                      <w:color w:val="000000" w:themeColor="text1"/>
                      <w:szCs w:val="40"/>
                      <w14:textFill>
                        <w14:solidFill>
                          <w14:schemeClr w14:val="tx1"/>
                        </w14:solidFill>
                      </w14:textFill>
                    </w:rPr>
                  </w:pPr>
                  <w:r>
                    <w:rPr>
                      <w:rFonts w:hint="default" w:ascii="Times New Roman" w:hAnsi="Times New Roman" w:eastAsia="宋体" w:cs="Times New Roman"/>
                      <w:b/>
                      <w:bCs w:val="0"/>
                      <w:color w:val="000000" w:themeColor="text1"/>
                      <w:szCs w:val="40"/>
                      <w14:textFill>
                        <w14:solidFill>
                          <w14:schemeClr w14:val="tx1"/>
                        </w14:solidFill>
                      </w14:textFill>
                    </w:rPr>
                    <w:t>污染物</w:t>
                  </w:r>
                </w:p>
              </w:tc>
              <w:tc>
                <w:tcPr>
                  <w:tcW w:w="3636" w:type="pct"/>
                  <w:gridSpan w:val="2"/>
                  <w:vAlign w:val="center"/>
                </w:tcPr>
                <w:p>
                  <w:pPr>
                    <w:jc w:val="center"/>
                    <w:rPr>
                      <w:rFonts w:hint="default" w:ascii="Times New Roman" w:hAnsi="Times New Roman" w:eastAsia="宋体" w:cs="Times New Roman"/>
                      <w:b/>
                      <w:bCs w:val="0"/>
                      <w:color w:val="000000" w:themeColor="text1"/>
                      <w:szCs w:val="40"/>
                      <w14:textFill>
                        <w14:solidFill>
                          <w14:schemeClr w14:val="tx1"/>
                        </w14:solidFill>
                      </w14:textFill>
                    </w:rPr>
                  </w:pPr>
                  <w:r>
                    <w:rPr>
                      <w:rFonts w:hint="default" w:ascii="Times New Roman" w:hAnsi="Times New Roman" w:eastAsia="宋体" w:cs="Times New Roman"/>
                      <w:b/>
                      <w:bCs w:val="0"/>
                      <w:color w:val="000000" w:themeColor="text1"/>
                      <w:szCs w:val="40"/>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4" w:type="pct"/>
                  <w:vMerge w:val="continue"/>
                  <w:vAlign w:val="center"/>
                </w:tcPr>
                <w:p>
                  <w:pPr>
                    <w:jc w:val="center"/>
                    <w:rPr>
                      <w:rFonts w:hint="default" w:ascii="Times New Roman" w:hAnsi="Times New Roman" w:eastAsia="宋体" w:cs="Times New Roman"/>
                      <w:bCs/>
                      <w:color w:val="000000" w:themeColor="text1"/>
                      <w:szCs w:val="40"/>
                      <w14:textFill>
                        <w14:solidFill>
                          <w14:schemeClr w14:val="tx1"/>
                        </w14:solidFill>
                      </w14:textFill>
                    </w:rPr>
                  </w:pPr>
                </w:p>
              </w:tc>
              <w:tc>
                <w:tcPr>
                  <w:tcW w:w="2092" w:type="pct"/>
                  <w:vAlign w:val="center"/>
                </w:tcPr>
                <w:p>
                  <w:pPr>
                    <w:jc w:val="center"/>
                    <w:rPr>
                      <w:rFonts w:hint="default" w:ascii="Times New Roman" w:hAnsi="Times New Roman" w:eastAsia="宋体" w:cs="Times New Roman"/>
                      <w:bCs/>
                      <w:color w:val="000000" w:themeColor="text1"/>
                      <w:szCs w:val="40"/>
                      <w14:textFill>
                        <w14:solidFill>
                          <w14:schemeClr w14:val="tx1"/>
                        </w14:solidFill>
                      </w14:textFill>
                    </w:rPr>
                  </w:pPr>
                  <w:r>
                    <w:rPr>
                      <w:rFonts w:hint="default" w:ascii="Times New Roman" w:hAnsi="Times New Roman" w:eastAsia="宋体" w:cs="Times New Roman"/>
                      <w:bCs/>
                      <w:color w:val="000000" w:themeColor="text1"/>
                      <w:szCs w:val="40"/>
                      <w14:textFill>
                        <w14:solidFill>
                          <w14:schemeClr w14:val="tx1"/>
                        </w14:solidFill>
                      </w14:textFill>
                    </w:rPr>
                    <w:t>监控点</w:t>
                  </w:r>
                </w:p>
              </w:tc>
              <w:tc>
                <w:tcPr>
                  <w:tcW w:w="1544" w:type="pct"/>
                  <w:vAlign w:val="center"/>
                </w:tcPr>
                <w:p>
                  <w:pPr>
                    <w:jc w:val="center"/>
                    <w:rPr>
                      <w:rFonts w:hint="default" w:ascii="Times New Roman" w:hAnsi="Times New Roman" w:eastAsia="宋体" w:cs="Times New Roman"/>
                      <w:bCs/>
                      <w:color w:val="000000" w:themeColor="text1"/>
                      <w:szCs w:val="40"/>
                      <w14:textFill>
                        <w14:solidFill>
                          <w14:schemeClr w14:val="tx1"/>
                        </w14:solidFill>
                      </w14:textFill>
                    </w:rPr>
                  </w:pPr>
                  <w:r>
                    <w:rPr>
                      <w:rFonts w:hint="default" w:ascii="Times New Roman" w:hAnsi="Times New Roman" w:eastAsia="宋体" w:cs="Times New Roman"/>
                      <w:bCs/>
                      <w:color w:val="000000" w:themeColor="text1"/>
                      <w:szCs w:val="40"/>
                      <w14:textFill>
                        <w14:solidFill>
                          <w14:schemeClr w14:val="tx1"/>
                        </w14:solidFill>
                      </w14:textFill>
                    </w:rPr>
                    <w:t>浓度（mg/m</w:t>
                  </w:r>
                  <w:r>
                    <w:rPr>
                      <w:rFonts w:hint="default" w:ascii="Times New Roman" w:hAnsi="Times New Roman" w:eastAsia="宋体" w:cs="Times New Roman"/>
                      <w:bCs/>
                      <w:color w:val="000000" w:themeColor="text1"/>
                      <w:szCs w:val="40"/>
                      <w:vertAlign w:val="superscript"/>
                      <w14:textFill>
                        <w14:solidFill>
                          <w14:schemeClr w14:val="tx1"/>
                        </w14:solidFill>
                      </w14:textFill>
                    </w:rPr>
                    <w:t>3</w:t>
                  </w:r>
                  <w:r>
                    <w:rPr>
                      <w:rFonts w:hint="default" w:ascii="Times New Roman" w:hAnsi="Times New Roman" w:eastAsia="宋体" w:cs="Times New Roman"/>
                      <w:bCs/>
                      <w:color w:val="000000" w:themeColor="text1"/>
                      <w:szCs w:val="4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4"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2092" w:type="pct"/>
                  <w:vAlign w:val="center"/>
                </w:tcPr>
                <w:p>
                  <w:pPr>
                    <w:jc w:val="center"/>
                    <w:rPr>
                      <w:rFonts w:hint="default" w:ascii="Times New Roman" w:hAnsi="Times New Roman" w:eastAsia="宋体" w:cs="Times New Roman"/>
                      <w:bCs/>
                      <w:color w:val="000000" w:themeColor="text1"/>
                      <w:szCs w:val="40"/>
                      <w14:textFill>
                        <w14:solidFill>
                          <w14:schemeClr w14:val="tx1"/>
                        </w14:solidFill>
                      </w14:textFill>
                    </w:rPr>
                  </w:pPr>
                  <w:r>
                    <w:rPr>
                      <w:rFonts w:hint="default" w:ascii="Times New Roman" w:hAnsi="Times New Roman" w:eastAsia="宋体" w:cs="Times New Roman"/>
                      <w:bCs/>
                      <w:color w:val="000000" w:themeColor="text1"/>
                      <w:szCs w:val="40"/>
                      <w14:textFill>
                        <w14:solidFill>
                          <w14:schemeClr w14:val="tx1"/>
                        </w14:solidFill>
                      </w14:textFill>
                    </w:rPr>
                    <w:t>周界外浓度最高点</w:t>
                  </w:r>
                </w:p>
              </w:tc>
              <w:tc>
                <w:tcPr>
                  <w:tcW w:w="1544" w:type="pct"/>
                  <w:vAlign w:val="center"/>
                </w:tcPr>
                <w:p>
                  <w:pPr>
                    <w:jc w:val="center"/>
                    <w:rPr>
                      <w:rFonts w:hint="default" w:ascii="Times New Roman" w:hAnsi="Times New Roman" w:eastAsia="宋体" w:cs="Times New Roman"/>
                      <w:bCs/>
                      <w:color w:val="000000" w:themeColor="text1"/>
                      <w:szCs w:val="40"/>
                      <w14:textFill>
                        <w14:solidFill>
                          <w14:schemeClr w14:val="tx1"/>
                        </w14:solidFill>
                      </w14:textFill>
                    </w:rPr>
                  </w:pPr>
                  <w:bookmarkStart w:id="44" w:name="废气排放浓度6"/>
                  <w:r>
                    <w:rPr>
                      <w:rFonts w:hint="default" w:ascii="Times New Roman" w:hAnsi="Times New Roman" w:eastAsia="宋体" w:cs="Times New Roman"/>
                      <w:bCs/>
                      <w:color w:val="000000" w:themeColor="text1"/>
                      <w:szCs w:val="40"/>
                      <w14:textFill>
                        <w14:solidFill>
                          <w14:schemeClr w14:val="tx1"/>
                        </w14:solidFill>
                      </w14:textFill>
                    </w:rPr>
                    <w:t>1.0</w:t>
                  </w:r>
                  <w:bookmarkEnd w:id="44"/>
                </w:p>
              </w:tc>
            </w:tr>
          </w:tbl>
          <w:p>
            <w:pPr>
              <w:ind w:left="482"/>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表3-9   《恶臭污染物排放标准》（GB14554-1993）（摘录）</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24"/>
              <w:gridCol w:w="2189"/>
              <w:gridCol w:w="39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27" w:type="pct"/>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1306" w:type="pct"/>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w:t>
                  </w:r>
                </w:p>
              </w:tc>
              <w:tc>
                <w:tcPr>
                  <w:tcW w:w="2365" w:type="pct"/>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恶臭污染物厂界标准值（二级新扩改建）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30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p>
              </w:tc>
              <w:tc>
                <w:tcPr>
                  <w:tcW w:w="2365"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 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30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S</w:t>
                  </w:r>
                </w:p>
              </w:tc>
              <w:tc>
                <w:tcPr>
                  <w:tcW w:w="2365"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 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3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30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臭气浓度</w:t>
                  </w:r>
                </w:p>
              </w:tc>
              <w:tc>
                <w:tcPr>
                  <w:tcW w:w="2365"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20（无量纲）</w:t>
                  </w:r>
                </w:p>
              </w:tc>
            </w:tr>
          </w:tbl>
          <w:p>
            <w:pPr>
              <w:pStyle w:val="11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《饮食业油烟排放标准（试行）》（GB18483-2001</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p>
          <w:tbl>
            <w:tblPr>
              <w:tblStyle w:val="34"/>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6"/>
              <w:gridCol w:w="1720"/>
              <w:gridCol w:w="1720"/>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6"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规模</w:t>
                  </w:r>
                </w:p>
              </w:tc>
              <w:tc>
                <w:tcPr>
                  <w:tcW w:w="1720"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小型</w:t>
                  </w:r>
                </w:p>
              </w:tc>
              <w:tc>
                <w:tcPr>
                  <w:tcW w:w="1720"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中型</w:t>
                  </w:r>
                </w:p>
              </w:tc>
              <w:tc>
                <w:tcPr>
                  <w:tcW w:w="1722"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6"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最高允许排放浓度（mg/m</w:t>
                  </w:r>
                  <w:r>
                    <w:rPr>
                      <w:rFonts w:hint="eastAsia" w:cs="宋体"/>
                      <w:color w:val="auto"/>
                      <w:sz w:val="21"/>
                      <w:szCs w:val="21"/>
                      <w:highlight w:val="none"/>
                      <w:vertAlign w:val="superscript"/>
                      <w:lang w:val="en-US" w:eastAsia="zh-CN"/>
                    </w:rPr>
                    <w:t>3</w:t>
                  </w:r>
                  <w:r>
                    <w:rPr>
                      <w:rFonts w:hint="eastAsia" w:cs="宋体"/>
                      <w:color w:val="auto"/>
                      <w:sz w:val="21"/>
                      <w:szCs w:val="21"/>
                      <w:highlight w:val="none"/>
                      <w:vertAlign w:val="baseline"/>
                      <w:lang w:val="en-US" w:eastAsia="zh-CN"/>
                    </w:rPr>
                    <w:t>）</w:t>
                  </w:r>
                </w:p>
              </w:tc>
              <w:tc>
                <w:tcPr>
                  <w:tcW w:w="5162" w:type="dxa"/>
                  <w:gridSpan w:val="3"/>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6"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净化设施最低去除效率（%）</w:t>
                  </w:r>
                </w:p>
              </w:tc>
              <w:tc>
                <w:tcPr>
                  <w:tcW w:w="1720"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60</w:t>
                  </w:r>
                </w:p>
              </w:tc>
              <w:tc>
                <w:tcPr>
                  <w:tcW w:w="1720"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75</w:t>
                  </w:r>
                </w:p>
              </w:tc>
              <w:tc>
                <w:tcPr>
                  <w:tcW w:w="1722" w:type="dxa"/>
                  <w:noWrap w:val="0"/>
                  <w:vAlign w:val="center"/>
                </w:tcPr>
                <w:p>
                  <w:pPr>
                    <w:pStyle w:val="1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85</w:t>
                  </w:r>
                </w:p>
              </w:tc>
            </w:tr>
          </w:tbl>
          <w:p>
            <w:pPr>
              <w:tabs>
                <w:tab w:val="left" w:pos="0"/>
              </w:tabs>
              <w:spacing w:line="360" w:lineRule="auto"/>
              <w:ind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3、噪声</w:t>
            </w:r>
          </w:p>
          <w:p>
            <w:pPr>
              <w:tabs>
                <w:tab w:val="left" w:pos="0"/>
              </w:tabs>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营运期厂界噪声排放执行《工业企业厂界环境噪声排放标准》（GB12348-2008）中2类标准。</w:t>
            </w:r>
          </w:p>
          <w:p>
            <w:pPr>
              <w:ind w:left="482"/>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表3-10   工业企业厂界环境噪声排放标准  等效声级Leq[dB(A)]</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94"/>
              <w:gridCol w:w="2790"/>
              <w:gridCol w:w="27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8" w:type="pct"/>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类别</w:t>
                  </w:r>
                </w:p>
              </w:tc>
              <w:tc>
                <w:tcPr>
                  <w:tcW w:w="1666" w:type="pct"/>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昼间</w:t>
                  </w:r>
                </w:p>
              </w:tc>
              <w:tc>
                <w:tcPr>
                  <w:tcW w:w="1666" w:type="pct"/>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2类</w:t>
                  </w:r>
                </w:p>
              </w:tc>
              <w:tc>
                <w:tcPr>
                  <w:tcW w:w="16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16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w:t>
                  </w:r>
                </w:p>
              </w:tc>
            </w:tr>
          </w:tbl>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4、固体废物</w:t>
            </w:r>
          </w:p>
          <w:p>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一般固体废物执行《一般工业固体废物贮存和填埋污染控制标准》（</w:t>
            </w:r>
            <w:r>
              <w:rPr>
                <w:rFonts w:hint="default" w:ascii="Times New Roman" w:hAnsi="Times New Roman" w:eastAsia="宋体" w:cs="Times New Roman"/>
                <w:color w:val="000000" w:themeColor="text1"/>
                <w:sz w:val="24"/>
                <w:lang w:val="zh-CN"/>
                <w14:textFill>
                  <w14:solidFill>
                    <w14:schemeClr w14:val="tx1"/>
                  </w14:solidFill>
                </w14:textFill>
              </w:rPr>
              <w:t>GB18599-2020</w:t>
            </w:r>
            <w:r>
              <w:rPr>
                <w:rFonts w:hint="default" w:ascii="Times New Roman" w:hAnsi="Times New Roman" w:eastAsia="宋体" w:cs="Times New Roman"/>
                <w:color w:val="000000" w:themeColor="text1"/>
                <w:sz w:val="24"/>
                <w14:textFill>
                  <w14:solidFill>
                    <w14:schemeClr w14:val="tx1"/>
                  </w14:solidFill>
                </w14:textFill>
              </w:rPr>
              <w:t>）中的相关规定。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30" w:hRule="atLeast"/>
          <w:jc w:val="center"/>
        </w:trPr>
        <w:tc>
          <w:tcPr>
            <w:tcW w:w="244" w:type="pct"/>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总量</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控制</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指标</w:t>
            </w:r>
          </w:p>
        </w:tc>
        <w:tc>
          <w:tcPr>
            <w:tcW w:w="4755" w:type="pct"/>
            <w:vAlign w:val="center"/>
          </w:tcPr>
          <w:p>
            <w:pPr>
              <w:pStyle w:val="100"/>
              <w:spacing w:line="360" w:lineRule="auto"/>
              <w:ind w:firstLine="480"/>
              <w:rPr>
                <w:rFonts w:hint="default" w:ascii="Times New Roman" w:hAnsi="Times New Roman" w:eastAsia="宋体" w:cs="Times New Roman"/>
                <w:color w:val="000000" w:themeColor="text1"/>
                <w:u w:val="none"/>
                <w14:textFill>
                  <w14:solidFill>
                    <w14:schemeClr w14:val="tx1"/>
                  </w14:solidFill>
                </w14:textFill>
              </w:rPr>
            </w:pPr>
            <w:bookmarkStart w:id="45" w:name="_Toc5117773"/>
            <w:bookmarkStart w:id="46" w:name="_Toc31859"/>
            <w:bookmarkStart w:id="47" w:name="_Toc2846"/>
            <w:bookmarkStart w:id="48" w:name="_Toc59198103"/>
            <w:bookmarkStart w:id="49" w:name="_Toc18244"/>
            <w:r>
              <w:rPr>
                <w:rFonts w:hint="default" w:ascii="Times New Roman" w:hAnsi="Times New Roman" w:eastAsia="宋体" w:cs="Times New Roman"/>
                <w:color w:val="000000" w:themeColor="text1"/>
                <w:u w:val="none"/>
                <w14:textFill>
                  <w14:solidFill>
                    <w14:schemeClr w14:val="tx1"/>
                  </w14:solidFill>
                </w14:textFill>
              </w:rPr>
              <w:t>根据国家环境保护部对实施污染物排放总量控制的要求以及《中华人民共和国国民经济和社会发展第十</w:t>
            </w:r>
            <w:r>
              <w:rPr>
                <w:rFonts w:hint="eastAsia" w:ascii="Times New Roman" w:hAnsi="Times New Roman" w:cs="Times New Roman"/>
                <w:color w:val="000000" w:themeColor="text1"/>
                <w:u w:val="none"/>
                <w:lang w:eastAsia="zh-CN"/>
                <w14:textFill>
                  <w14:solidFill>
                    <w14:schemeClr w14:val="tx1"/>
                  </w14:solidFill>
                </w14:textFill>
              </w:rPr>
              <w:t>四</w:t>
            </w:r>
            <w:r>
              <w:rPr>
                <w:rFonts w:hint="default" w:ascii="Times New Roman" w:hAnsi="Times New Roman" w:eastAsia="宋体" w:cs="Times New Roman"/>
                <w:color w:val="000000" w:themeColor="text1"/>
                <w:u w:val="none"/>
                <w14:textFill>
                  <w14:solidFill>
                    <w14:schemeClr w14:val="tx1"/>
                  </w14:solidFill>
                </w14:textFill>
              </w:rPr>
              <w:t>个五年规划纲要》环保规划要求，根据本工程的污染特点和生态环境部门的要求，根据国家总量控制有关规定，结合公司生产实际情况，确定本项目总量控制因子为：</w:t>
            </w:r>
          </w:p>
          <w:p>
            <w:pPr>
              <w:pStyle w:val="100"/>
              <w:spacing w:line="360" w:lineRule="auto"/>
              <w:ind w:firstLine="480"/>
              <w:rPr>
                <w:rFonts w:hint="default" w:ascii="Times New Roman" w:hAnsi="Times New Roman" w:eastAsia="宋体" w:cs="Times New Roman"/>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水污染总量控制因子：COD、氨氮</w:t>
            </w:r>
          </w:p>
          <w:p>
            <w:pPr>
              <w:pStyle w:val="100"/>
              <w:spacing w:line="360" w:lineRule="auto"/>
              <w:ind w:firstLine="48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大气污染物总量控制因子：二氧化硫、氮氧化物。</w:t>
            </w:r>
          </w:p>
          <w:p>
            <w:pPr>
              <w:pStyle w:val="100"/>
              <w:spacing w:line="360" w:lineRule="auto"/>
              <w:ind w:firstLine="480"/>
              <w:rPr>
                <w:rFonts w:hint="default" w:ascii="Times New Roman" w:hAnsi="Times New Roman" w:eastAsia="宋体" w:cs="Times New Roman"/>
                <w:color w:val="000000" w:themeColor="text1"/>
                <w:u w:val="single"/>
                <w:lang w:eastAsia="zh-CN"/>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根据工程分析可知，二氧化硫、氮氧化物的排放量见下表</w:t>
            </w:r>
            <w:r>
              <w:rPr>
                <w:rFonts w:hint="default" w:ascii="Times New Roman" w:hAnsi="Times New Roman" w:eastAsia="宋体" w:cs="Times New Roman"/>
                <w:color w:val="000000" w:themeColor="text1"/>
                <w:u w:val="none"/>
                <w:lang w:eastAsia="zh-CN"/>
                <w14:textFill>
                  <w14:solidFill>
                    <w14:schemeClr w14:val="tx1"/>
                  </w14:solidFill>
                </w14:textFill>
              </w:rPr>
              <w:t>：</w:t>
            </w:r>
          </w:p>
          <w:p>
            <w:pPr>
              <w:pStyle w:val="100"/>
              <w:shd w:val="clear"/>
              <w:ind w:firstLineChars="83"/>
              <w:jc w:val="center"/>
              <w:rPr>
                <w:rFonts w:hint="default" w:ascii="Times New Roman" w:hAnsi="Times New Roman" w:eastAsia="宋体" w:cs="Times New Roman"/>
                <w:b/>
                <w:color w:val="000000" w:themeColor="text1"/>
                <w:u w:val="none"/>
                <w14:textFill>
                  <w14:solidFill>
                    <w14:schemeClr w14:val="tx1"/>
                  </w14:solidFill>
                </w14:textFill>
              </w:rPr>
            </w:pPr>
            <w:r>
              <w:rPr>
                <w:rFonts w:hint="default" w:ascii="Times New Roman" w:hAnsi="Times New Roman" w:eastAsia="宋体" w:cs="Times New Roman"/>
                <w:b/>
                <w:color w:val="000000" w:themeColor="text1"/>
                <w:u w:val="none"/>
                <w:shd w:val="clear"/>
                <w14:textFill>
                  <w14:solidFill>
                    <w14:schemeClr w14:val="tx1"/>
                  </w14:solidFill>
                </w14:textFill>
              </w:rPr>
              <w:t>表3-11   总量核算一览表</w:t>
            </w:r>
          </w:p>
          <w:tbl>
            <w:tblPr>
              <w:tblStyle w:val="33"/>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87"/>
              <w:gridCol w:w="2464"/>
              <w:gridCol w:w="32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5" w:type="pct"/>
                  <w:vAlign w:val="center"/>
                </w:tcPr>
                <w:p>
                  <w:pPr>
                    <w:pStyle w:val="100"/>
                    <w:ind w:firstLine="0" w:firstLineChars="0"/>
                    <w:jc w:val="cente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列别</w:t>
                  </w:r>
                </w:p>
              </w:tc>
              <w:tc>
                <w:tcPr>
                  <w:tcW w:w="1471" w:type="pct"/>
                  <w:vAlign w:val="center"/>
                </w:tcPr>
                <w:p>
                  <w:pPr>
                    <w:pStyle w:val="100"/>
                    <w:ind w:firstLine="0" w:firstLineChars="0"/>
                    <w:jc w:val="cente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指标名称</w:t>
                  </w:r>
                </w:p>
              </w:tc>
              <w:tc>
                <w:tcPr>
                  <w:tcW w:w="1923" w:type="pct"/>
                  <w:vAlign w:val="center"/>
                </w:tcPr>
                <w:p>
                  <w:pPr>
                    <w:pStyle w:val="100"/>
                    <w:ind w:firstLine="0" w:firstLineChars="0"/>
                    <w:jc w:val="cente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排放</w:t>
                  </w: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总</w:t>
                  </w: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5" w:type="pct"/>
                  <w:vMerge w:val="restart"/>
                  <w:vAlign w:val="center"/>
                </w:tcPr>
                <w:p>
                  <w:pPr>
                    <w:pStyle w:val="100"/>
                    <w:ind w:firstLine="0" w:firstLineChars="0"/>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废气</w:t>
                  </w:r>
                </w:p>
                <w:p>
                  <w:pPr>
                    <w:pStyle w:val="100"/>
                    <w:ind w:firstLine="0" w:firstLineChars="0"/>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蒸汽锅炉</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w:t>
                  </w:r>
                </w:p>
              </w:tc>
              <w:tc>
                <w:tcPr>
                  <w:tcW w:w="1471" w:type="pct"/>
                  <w:vAlign w:val="center"/>
                </w:tcPr>
                <w:p>
                  <w:pPr>
                    <w:pStyle w:val="100"/>
                    <w:ind w:firstLine="0" w:firstLineChars="0"/>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二氧化硫</w:t>
                  </w:r>
                </w:p>
              </w:tc>
              <w:tc>
                <w:tcPr>
                  <w:tcW w:w="1923"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368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5" w:type="pct"/>
                  <w:vMerge w:val="continue"/>
                  <w:vAlign w:val="center"/>
                </w:tcPr>
                <w:p>
                  <w:pPr>
                    <w:widowControl/>
                    <w:jc w:val="left"/>
                    <w:rPr>
                      <w:rFonts w:hint="default" w:ascii="Times New Roman" w:hAnsi="Times New Roman" w:eastAsia="宋体" w:cs="Times New Roman"/>
                      <w:color w:val="000000" w:themeColor="text1"/>
                      <w:szCs w:val="21"/>
                      <w:highlight w:val="none"/>
                      <w:u w:val="none"/>
                      <w14:textFill>
                        <w14:solidFill>
                          <w14:schemeClr w14:val="tx1"/>
                        </w14:solidFill>
                      </w14:textFill>
                    </w:rPr>
                  </w:pPr>
                </w:p>
              </w:tc>
              <w:tc>
                <w:tcPr>
                  <w:tcW w:w="1471" w:type="pct"/>
                  <w:vAlign w:val="center"/>
                </w:tcPr>
                <w:p>
                  <w:pPr>
                    <w:pStyle w:val="100"/>
                    <w:ind w:firstLine="0" w:firstLineChars="0"/>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氮氧化物</w:t>
                  </w:r>
                </w:p>
              </w:tc>
              <w:tc>
                <w:tcPr>
                  <w:tcW w:w="1923"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552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5" w:type="pct"/>
                  <w:vMerge w:val="restart"/>
                  <w:vAlign w:val="center"/>
                </w:tcPr>
                <w:p>
                  <w:pPr>
                    <w:widowControl/>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废水</w:t>
                  </w:r>
                </w:p>
              </w:tc>
              <w:tc>
                <w:tcPr>
                  <w:tcW w:w="1471" w:type="pct"/>
                  <w:vAlign w:val="center"/>
                </w:tcPr>
                <w:p>
                  <w:pPr>
                    <w:pStyle w:val="100"/>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COD</w:t>
                  </w:r>
                </w:p>
              </w:tc>
              <w:tc>
                <w:tcPr>
                  <w:tcW w:w="1923" w:type="pct"/>
                  <w:vAlign w:val="center"/>
                </w:tcPr>
                <w:p>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1.518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5" w:type="pct"/>
                  <w:vMerge w:val="continue"/>
                  <w:vAlign w:val="center"/>
                </w:tcPr>
                <w:p>
                  <w:pPr>
                    <w:widowControl/>
                    <w:jc w:val="left"/>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p>
              </w:tc>
              <w:tc>
                <w:tcPr>
                  <w:tcW w:w="1471" w:type="pct"/>
                  <w:vAlign w:val="center"/>
                </w:tcPr>
                <w:p>
                  <w:pPr>
                    <w:pStyle w:val="100"/>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氨氮</w:t>
                  </w:r>
                </w:p>
              </w:tc>
              <w:tc>
                <w:tcPr>
                  <w:tcW w:w="1923" w:type="pct"/>
                  <w:vAlign w:val="center"/>
                </w:tcPr>
                <w:p>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0.086</w:t>
                  </w:r>
                </w:p>
              </w:tc>
            </w:tr>
            <w:bookmarkEnd w:id="45"/>
            <w:bookmarkEnd w:id="46"/>
            <w:bookmarkEnd w:id="47"/>
            <w:bookmarkEnd w:id="48"/>
            <w:bookmarkEnd w:id="49"/>
          </w:tbl>
          <w:p>
            <w:pPr>
              <w:pStyle w:val="42"/>
              <w:rPr>
                <w:rFonts w:hint="default" w:ascii="Times New Roman" w:hAnsi="Times New Roman" w:eastAsia="宋体" w:cs="Times New Roman"/>
                <w:color w:val="000000" w:themeColor="text1"/>
                <w:u w:val="single"/>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tc>
      </w:tr>
    </w:tbl>
    <w:p>
      <w:pPr>
        <w:pStyle w:val="28"/>
        <w:spacing w:before="0" w:beforeAutospacing="0"/>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6"/>
          <w:szCs w:val="36"/>
          <w14:textFill>
            <w14:solidFill>
              <w14:schemeClr w14:val="tx1"/>
            </w14:solidFill>
          </w14:textFill>
        </w:rPr>
        <w:br w:type="page"/>
      </w:r>
      <w:bookmarkStart w:id="50" w:name="_Toc6886"/>
      <w:r>
        <w:rPr>
          <w:rFonts w:hint="default" w:ascii="Times New Roman" w:hAnsi="Times New Roman" w:eastAsia="宋体" w:cs="Times New Roman"/>
          <w:b/>
          <w:color w:val="000000" w:themeColor="text1"/>
          <w:kern w:val="2"/>
          <w:sz w:val="30"/>
          <w:szCs w:val="24"/>
          <w14:textFill>
            <w14:solidFill>
              <w14:schemeClr w14:val="tx1"/>
            </w14:solidFill>
          </w14:textFill>
        </w:rPr>
        <w:t>四、主要环境影响和保护措施</w:t>
      </w:r>
      <w:bookmarkEnd w:id="50"/>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43"/>
        <w:gridCol w:w="843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308" w:type="pct"/>
            <w:tcMar>
              <w:left w:w="28" w:type="dxa"/>
              <w:right w:w="28" w:type="dxa"/>
            </w:tcMar>
            <w:vAlign w:val="center"/>
          </w:tcPr>
          <w:p>
            <w:pPr>
              <w:pStyle w:val="28"/>
              <w:adjustRightInd w:val="0"/>
              <w:snapToGrid w:val="0"/>
              <w:spacing w:before="0" w:beforeAutospacing="0" w:after="0" w:afterAutospacing="0"/>
              <w:jc w:val="center"/>
              <w:rPr>
                <w:rFonts w:hint="default" w:ascii="Times New Roman" w:hAnsi="Times New Roman" w:eastAsia="宋体" w:cs="Times New Roman"/>
                <w:b/>
                <w:bCs/>
                <w:color w:val="000000" w:themeColor="text1"/>
                <w:kern w:val="2"/>
                <w:szCs w:val="24"/>
                <w14:textFill>
                  <w14:solidFill>
                    <w14:schemeClr w14:val="tx1"/>
                  </w14:solidFill>
                </w14:textFill>
              </w:rPr>
            </w:pPr>
            <w:r>
              <w:rPr>
                <w:rFonts w:hint="default" w:ascii="Times New Roman" w:hAnsi="Times New Roman" w:eastAsia="宋体" w:cs="Times New Roman"/>
                <w:b/>
                <w:bCs/>
                <w:color w:val="000000" w:themeColor="text1"/>
                <w:kern w:val="2"/>
                <w:szCs w:val="24"/>
                <w14:textFill>
                  <w14:solidFill>
                    <w14:schemeClr w14:val="tx1"/>
                  </w14:solidFill>
                </w14:textFill>
              </w:rPr>
              <w:t>施工</w:t>
            </w:r>
          </w:p>
          <w:p>
            <w:pPr>
              <w:pStyle w:val="28"/>
              <w:adjustRightInd w:val="0"/>
              <w:snapToGrid w:val="0"/>
              <w:spacing w:before="0" w:beforeAutospacing="0" w:after="0" w:afterAutospacing="0"/>
              <w:jc w:val="center"/>
              <w:rPr>
                <w:rFonts w:hint="default" w:ascii="Times New Roman" w:hAnsi="Times New Roman" w:eastAsia="宋体" w:cs="Times New Roman"/>
                <w:b/>
                <w:bCs/>
                <w:color w:val="000000" w:themeColor="text1"/>
                <w:kern w:val="2"/>
                <w:szCs w:val="24"/>
                <w14:textFill>
                  <w14:solidFill>
                    <w14:schemeClr w14:val="tx1"/>
                  </w14:solidFill>
                </w14:textFill>
              </w:rPr>
            </w:pPr>
            <w:r>
              <w:rPr>
                <w:rFonts w:hint="default" w:ascii="Times New Roman" w:hAnsi="Times New Roman" w:eastAsia="宋体" w:cs="Times New Roman"/>
                <w:b/>
                <w:bCs/>
                <w:color w:val="000000" w:themeColor="text1"/>
                <w:kern w:val="2"/>
                <w:szCs w:val="24"/>
                <w14:textFill>
                  <w14:solidFill>
                    <w14:schemeClr w14:val="tx1"/>
                  </w14:solidFill>
                </w14:textFill>
              </w:rPr>
              <w:t>期环</w:t>
            </w:r>
          </w:p>
          <w:p>
            <w:pPr>
              <w:pStyle w:val="28"/>
              <w:adjustRightInd w:val="0"/>
              <w:snapToGrid w:val="0"/>
              <w:spacing w:before="0" w:beforeAutospacing="0" w:after="0" w:afterAutospacing="0"/>
              <w:jc w:val="center"/>
              <w:rPr>
                <w:rFonts w:hint="default" w:ascii="Times New Roman" w:hAnsi="Times New Roman" w:eastAsia="宋体" w:cs="Times New Roman"/>
                <w:b/>
                <w:bCs/>
                <w:color w:val="000000" w:themeColor="text1"/>
                <w:kern w:val="2"/>
                <w:szCs w:val="24"/>
                <w14:textFill>
                  <w14:solidFill>
                    <w14:schemeClr w14:val="tx1"/>
                  </w14:solidFill>
                </w14:textFill>
              </w:rPr>
            </w:pPr>
            <w:r>
              <w:rPr>
                <w:rFonts w:hint="default" w:ascii="Times New Roman" w:hAnsi="Times New Roman" w:eastAsia="宋体" w:cs="Times New Roman"/>
                <w:b/>
                <w:bCs/>
                <w:color w:val="000000" w:themeColor="text1"/>
                <w:kern w:val="2"/>
                <w:szCs w:val="24"/>
                <w14:textFill>
                  <w14:solidFill>
                    <w14:schemeClr w14:val="tx1"/>
                  </w14:solidFill>
                </w14:textFill>
              </w:rPr>
              <w:t>境保</w:t>
            </w:r>
          </w:p>
          <w:p>
            <w:pPr>
              <w:pStyle w:val="28"/>
              <w:adjustRightInd w:val="0"/>
              <w:snapToGrid w:val="0"/>
              <w:spacing w:before="0" w:beforeAutospacing="0" w:after="0" w:afterAutospacing="0"/>
              <w:jc w:val="center"/>
              <w:rPr>
                <w:rFonts w:hint="default" w:ascii="Times New Roman" w:hAnsi="Times New Roman" w:eastAsia="宋体" w:cs="Times New Roman"/>
                <w:b/>
                <w:bCs/>
                <w:color w:val="000000" w:themeColor="text1"/>
                <w:kern w:val="2"/>
                <w:szCs w:val="24"/>
                <w14:textFill>
                  <w14:solidFill>
                    <w14:schemeClr w14:val="tx1"/>
                  </w14:solidFill>
                </w14:textFill>
              </w:rPr>
            </w:pPr>
            <w:r>
              <w:rPr>
                <w:rFonts w:hint="default" w:ascii="Times New Roman" w:hAnsi="Times New Roman" w:eastAsia="宋体" w:cs="Times New Roman"/>
                <w:b/>
                <w:bCs/>
                <w:color w:val="000000" w:themeColor="text1"/>
                <w:kern w:val="2"/>
                <w:szCs w:val="24"/>
                <w14:textFill>
                  <w14:solidFill>
                    <w14:schemeClr w14:val="tx1"/>
                  </w14:solidFill>
                </w14:textFill>
              </w:rPr>
              <w:t>护措</w:t>
            </w:r>
          </w:p>
          <w:p>
            <w:pPr>
              <w:pStyle w:val="28"/>
              <w:adjustRightInd w:val="0"/>
              <w:snapToGrid w:val="0"/>
              <w:spacing w:before="0" w:beforeAutospacing="0" w:after="0" w:afterAutospacing="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Cs w:val="24"/>
                <w14:textFill>
                  <w14:solidFill>
                    <w14:schemeClr w14:val="tx1"/>
                  </w14:solidFill>
                </w14:textFill>
              </w:rPr>
              <w:t>施</w:t>
            </w:r>
          </w:p>
        </w:tc>
        <w:tc>
          <w:tcPr>
            <w:tcW w:w="4691" w:type="pct"/>
            <w:vAlign w:val="center"/>
          </w:tcPr>
          <w:p>
            <w:pPr>
              <w:adjustRightInd w:val="0"/>
              <w:snapToGrid w:val="0"/>
              <w:spacing w:line="360" w:lineRule="auto"/>
              <w:ind w:firstLine="480" w:firstLineChars="200"/>
              <w:rPr>
                <w:rFonts w:hint="eastAsia"/>
                <w:color w:val="000000"/>
                <w:kern w:val="28"/>
                <w:sz w:val="24"/>
              </w:rPr>
            </w:pPr>
            <w:r>
              <w:rPr>
                <w:rFonts w:hint="eastAsia"/>
                <w:color w:val="000000"/>
                <w:kern w:val="28"/>
                <w:sz w:val="24"/>
              </w:rPr>
              <w:t>根据现场勘探情况，项目目前</w:t>
            </w:r>
            <w:r>
              <w:rPr>
                <w:rFonts w:hint="eastAsia"/>
                <w:color w:val="000000"/>
                <w:kern w:val="28"/>
                <w:sz w:val="24"/>
                <w:lang w:val="en-US" w:eastAsia="zh-CN"/>
              </w:rPr>
              <w:t>尚未动工</w:t>
            </w:r>
            <w:r>
              <w:rPr>
                <w:rFonts w:hint="eastAsia"/>
                <w:color w:val="000000"/>
                <w:kern w:val="28"/>
                <w:sz w:val="24"/>
              </w:rPr>
              <w:t>。项目施工期间产生的污染包括废气、废水、施工噪声以及施工固体废物等。</w:t>
            </w:r>
          </w:p>
          <w:p>
            <w:pPr>
              <w:numPr>
                <w:ilvl w:val="0"/>
                <w:numId w:val="5"/>
              </w:numPr>
              <w:adjustRightInd w:val="0"/>
              <w:snapToGrid w:val="0"/>
              <w:spacing w:line="360" w:lineRule="auto"/>
              <w:ind w:firstLine="482" w:firstLineChars="200"/>
              <w:rPr>
                <w:rFonts w:hint="eastAsia"/>
                <w:b/>
                <w:bCs/>
                <w:color w:val="000000"/>
                <w:sz w:val="24"/>
              </w:rPr>
            </w:pPr>
            <w:r>
              <w:rPr>
                <w:rFonts w:hint="eastAsia"/>
                <w:b/>
                <w:bCs/>
                <w:color w:val="000000"/>
                <w:sz w:val="24"/>
              </w:rPr>
              <w:t>施工期废气</w:t>
            </w:r>
          </w:p>
          <w:p>
            <w:pPr>
              <w:adjustRightInd w:val="0"/>
              <w:snapToGrid w:val="0"/>
              <w:spacing w:line="360" w:lineRule="auto"/>
              <w:ind w:firstLine="480" w:firstLineChars="200"/>
              <w:rPr>
                <w:rFonts w:hint="eastAsia"/>
                <w:kern w:val="28"/>
                <w:sz w:val="24"/>
              </w:rPr>
            </w:pPr>
            <w:r>
              <w:rPr>
                <w:rFonts w:hint="eastAsia"/>
                <w:kern w:val="28"/>
                <w:sz w:val="24"/>
              </w:rPr>
              <w:t>施工期间对环境空气质量的影响主要来源于施工过程中产生的扬尘、施工机械及运输车辆排放的尾气等。</w:t>
            </w:r>
          </w:p>
          <w:p>
            <w:pPr>
              <w:adjustRightInd w:val="0"/>
              <w:snapToGrid w:val="0"/>
              <w:spacing w:line="360" w:lineRule="auto"/>
              <w:ind w:firstLine="480" w:firstLineChars="200"/>
              <w:rPr>
                <w:rFonts w:hint="eastAsia"/>
                <w:kern w:val="28"/>
                <w:sz w:val="24"/>
              </w:rPr>
            </w:pPr>
            <w:r>
              <w:rPr>
                <w:rFonts w:hint="eastAsia"/>
                <w:kern w:val="28"/>
                <w:sz w:val="24"/>
              </w:rPr>
              <w:t>（1）施工扬尘</w:t>
            </w:r>
          </w:p>
          <w:p>
            <w:pPr>
              <w:adjustRightInd w:val="0"/>
              <w:snapToGrid w:val="0"/>
              <w:spacing w:line="360" w:lineRule="auto"/>
              <w:ind w:firstLine="480" w:firstLineChars="200"/>
              <w:rPr>
                <w:rFonts w:hint="eastAsia"/>
                <w:kern w:val="28"/>
                <w:sz w:val="24"/>
              </w:rPr>
            </w:pPr>
            <w:r>
              <w:rPr>
                <w:rFonts w:hint="eastAsia"/>
                <w:kern w:val="28"/>
                <w:sz w:val="24"/>
              </w:rPr>
              <w:t>施工期扬尘的产生是不可避免的，从扬尘产生时段上看，它主要产生于项目场地清理、地基开挖、回填、运输土方等作业过程。扬尘产生情况随着施工阶段的不同而改变，其造成的影响是局部的、短期的，随着施工结束而结束。</w:t>
            </w:r>
          </w:p>
          <w:p>
            <w:pPr>
              <w:adjustRightInd w:val="0"/>
              <w:snapToGrid w:val="0"/>
              <w:spacing w:line="360" w:lineRule="auto"/>
              <w:ind w:firstLine="480" w:firstLineChars="200"/>
              <w:rPr>
                <w:rFonts w:hint="eastAsia"/>
                <w:kern w:val="28"/>
                <w:sz w:val="24"/>
              </w:rPr>
            </w:pPr>
            <w:r>
              <w:rPr>
                <w:rFonts w:hint="eastAsia"/>
                <w:kern w:val="28"/>
                <w:sz w:val="24"/>
              </w:rPr>
              <w:t>①施工期场地内扬尘</w:t>
            </w:r>
          </w:p>
          <w:p>
            <w:pPr>
              <w:adjustRightInd w:val="0"/>
              <w:snapToGrid w:val="0"/>
              <w:spacing w:line="360" w:lineRule="auto"/>
              <w:ind w:firstLine="480" w:firstLineChars="200"/>
              <w:rPr>
                <w:rFonts w:hint="eastAsia"/>
                <w:kern w:val="28"/>
                <w:sz w:val="24"/>
              </w:rPr>
            </w:pPr>
            <w:r>
              <w:rPr>
                <w:rFonts w:hint="eastAsia"/>
                <w:kern w:val="28"/>
                <w:sz w:val="24"/>
              </w:rPr>
              <w:t>施工期场地内扬尘主要由以下因素产生：</w:t>
            </w:r>
          </w:p>
          <w:p>
            <w:pPr>
              <w:adjustRightInd w:val="0"/>
              <w:snapToGrid w:val="0"/>
              <w:spacing w:line="360" w:lineRule="auto"/>
              <w:ind w:firstLine="480" w:firstLineChars="200"/>
              <w:rPr>
                <w:rFonts w:hint="eastAsia"/>
                <w:kern w:val="28"/>
                <w:sz w:val="24"/>
              </w:rPr>
            </w:pPr>
            <w:r>
              <w:rPr>
                <w:rFonts w:hint="eastAsia"/>
                <w:kern w:val="28"/>
                <w:sz w:val="24"/>
              </w:rPr>
              <w:t>A、车间、道路施工场地内地表的挖掘与重整、土方和建材的运输等。</w:t>
            </w:r>
          </w:p>
          <w:p>
            <w:pPr>
              <w:adjustRightInd w:val="0"/>
              <w:snapToGrid w:val="0"/>
              <w:spacing w:line="360" w:lineRule="auto"/>
              <w:ind w:firstLine="480" w:firstLineChars="200"/>
              <w:rPr>
                <w:rFonts w:hint="eastAsia"/>
                <w:kern w:val="28"/>
                <w:sz w:val="24"/>
              </w:rPr>
            </w:pPr>
            <w:r>
              <w:rPr>
                <w:rFonts w:hint="eastAsia"/>
                <w:kern w:val="28"/>
                <w:sz w:val="24"/>
              </w:rPr>
              <w:t>B、干燥有风天气，运输车辆在施工场地内的道路和裸露施工面行驶。根据类比其他类似工程的实测数据，类似土建工程现场的扬尘实地监测结果，在通常情况下，距离施工场界200m处TSP浓度约在0.20～0.50mg/m</w:t>
            </w:r>
            <w:r>
              <w:rPr>
                <w:rFonts w:hint="eastAsia"/>
                <w:kern w:val="28"/>
                <w:sz w:val="24"/>
                <w:vertAlign w:val="superscript"/>
              </w:rPr>
              <w:t>3</w:t>
            </w:r>
            <w:r>
              <w:rPr>
                <w:rFonts w:hint="eastAsia"/>
                <w:kern w:val="28"/>
                <w:sz w:val="24"/>
              </w:rPr>
              <w:t>之间。</w:t>
            </w:r>
          </w:p>
          <w:p>
            <w:pPr>
              <w:adjustRightInd w:val="0"/>
              <w:snapToGrid w:val="0"/>
              <w:spacing w:line="360" w:lineRule="auto"/>
              <w:ind w:firstLine="480" w:firstLineChars="200"/>
              <w:rPr>
                <w:rFonts w:hint="eastAsia"/>
                <w:kern w:val="28"/>
                <w:sz w:val="24"/>
              </w:rPr>
            </w:pPr>
            <w:r>
              <w:rPr>
                <w:rFonts w:hint="eastAsia"/>
                <w:kern w:val="28"/>
                <w:sz w:val="24"/>
              </w:rPr>
              <w:t>②裸露施工场地的风力起尘</w:t>
            </w:r>
          </w:p>
          <w:p>
            <w:pPr>
              <w:adjustRightInd w:val="0"/>
              <w:snapToGrid w:val="0"/>
              <w:spacing w:line="360" w:lineRule="auto"/>
              <w:ind w:firstLine="480" w:firstLineChars="200"/>
              <w:rPr>
                <w:rFonts w:hint="eastAsia"/>
                <w:kern w:val="28"/>
                <w:sz w:val="24"/>
              </w:rPr>
            </w:pPr>
            <w:r>
              <w:rPr>
                <w:rFonts w:hint="eastAsia"/>
                <w:kern w:val="28"/>
                <w:sz w:val="24"/>
              </w:rPr>
              <w:t>一般来说，风力起尘量与施工场地的面积大小、施工活动频率以及当地土壤中泥沙颗粒成一定比例，同时，还与当地气象条件如风速、湿度、日照等有关。</w:t>
            </w:r>
          </w:p>
          <w:p>
            <w:pPr>
              <w:adjustRightInd w:val="0"/>
              <w:snapToGrid w:val="0"/>
              <w:spacing w:line="360" w:lineRule="auto"/>
              <w:ind w:firstLine="480" w:firstLineChars="200"/>
              <w:rPr>
                <w:rFonts w:hint="eastAsia"/>
                <w:kern w:val="28"/>
                <w:sz w:val="24"/>
              </w:rPr>
            </w:pPr>
            <w:r>
              <w:rPr>
                <w:rFonts w:hint="eastAsia"/>
                <w:kern w:val="28"/>
                <w:sz w:val="24"/>
              </w:rPr>
              <w:t>参考其他同类型项目现场的扬尘实地监测结果，TSP产生系数为0.10～0.05mg/m</w:t>
            </w:r>
            <w:r>
              <w:rPr>
                <w:rFonts w:hint="eastAsia"/>
                <w:kern w:val="28"/>
                <w:sz w:val="24"/>
                <w:vertAlign w:val="superscript"/>
              </w:rPr>
              <w:t>2</w:t>
            </w:r>
            <w:r>
              <w:rPr>
                <w:rFonts w:hint="eastAsia"/>
                <w:kern w:val="28"/>
                <w:sz w:val="24"/>
              </w:rPr>
              <w:t>·s，考虑场地的土质特点和平均风速，取0.07mg/m</w:t>
            </w:r>
            <w:r>
              <w:rPr>
                <w:rFonts w:hint="eastAsia"/>
                <w:kern w:val="28"/>
                <w:sz w:val="24"/>
                <w:vertAlign w:val="superscript"/>
              </w:rPr>
              <w:t>2</w:t>
            </w:r>
            <w:r>
              <w:rPr>
                <w:rFonts w:hint="eastAsia"/>
                <w:kern w:val="28"/>
                <w:sz w:val="24"/>
              </w:rPr>
              <w:t>·s。TSP的产生还与同时裸露的施工面积密切相关，施工裸露场地面积按总面积1/4计（即13850.5m</w:t>
            </w:r>
            <w:r>
              <w:rPr>
                <w:rFonts w:hint="eastAsia"/>
                <w:kern w:val="28"/>
                <w:sz w:val="24"/>
                <w:vertAlign w:val="superscript"/>
              </w:rPr>
              <w:t>2</w:t>
            </w:r>
            <w:r>
              <w:rPr>
                <w:rFonts w:hint="eastAsia"/>
                <w:kern w:val="28"/>
                <w:sz w:val="24"/>
              </w:rPr>
              <w:t>），每天施工8h，施工场地风力起尘TSP的排放量为27.92kg/d。</w:t>
            </w:r>
          </w:p>
          <w:p>
            <w:pPr>
              <w:adjustRightInd w:val="0"/>
              <w:snapToGrid w:val="0"/>
              <w:spacing w:line="360" w:lineRule="auto"/>
              <w:ind w:firstLine="480" w:firstLineChars="200"/>
              <w:rPr>
                <w:rFonts w:hint="eastAsia"/>
                <w:kern w:val="28"/>
                <w:sz w:val="24"/>
              </w:rPr>
            </w:pPr>
            <w:r>
              <w:rPr>
                <w:rFonts w:hint="eastAsia"/>
                <w:kern w:val="28"/>
                <w:sz w:val="24"/>
              </w:rPr>
              <w:t>③施工期场地外扬尘</w:t>
            </w:r>
          </w:p>
          <w:p>
            <w:pPr>
              <w:adjustRightInd w:val="0"/>
              <w:snapToGrid w:val="0"/>
              <w:spacing w:line="360" w:lineRule="auto"/>
              <w:ind w:firstLine="480" w:firstLineChars="200"/>
              <w:rPr>
                <w:rFonts w:hint="eastAsia"/>
                <w:kern w:val="28"/>
                <w:sz w:val="24"/>
              </w:rPr>
            </w:pPr>
            <w:r>
              <w:rPr>
                <w:rFonts w:hint="eastAsia"/>
                <w:kern w:val="28"/>
                <w:sz w:val="24"/>
              </w:rPr>
              <w:t>对于被带到附近道路上的泥土所产生的扬尘量，与管理情况关系密切，一般</w:t>
            </w:r>
          </w:p>
          <w:p>
            <w:pPr>
              <w:adjustRightInd w:val="0"/>
              <w:snapToGrid w:val="0"/>
              <w:spacing w:line="360" w:lineRule="auto"/>
              <w:ind w:firstLine="480" w:firstLineChars="200"/>
              <w:rPr>
                <w:rFonts w:hint="eastAsia"/>
                <w:kern w:val="28"/>
                <w:sz w:val="24"/>
              </w:rPr>
            </w:pPr>
            <w:r>
              <w:rPr>
                <w:rFonts w:hint="eastAsia"/>
                <w:kern w:val="28"/>
                <w:sz w:val="24"/>
              </w:rPr>
              <w:t>难以准确定量估计。</w:t>
            </w:r>
          </w:p>
          <w:p>
            <w:pPr>
              <w:adjustRightInd w:val="0"/>
              <w:snapToGrid w:val="0"/>
              <w:spacing w:line="360" w:lineRule="auto"/>
              <w:ind w:firstLine="480" w:firstLineChars="200"/>
              <w:rPr>
                <w:rFonts w:hint="eastAsia"/>
                <w:kern w:val="28"/>
                <w:sz w:val="24"/>
              </w:rPr>
            </w:pPr>
            <w:r>
              <w:rPr>
                <w:rFonts w:hint="eastAsia"/>
                <w:kern w:val="28"/>
                <w:sz w:val="24"/>
              </w:rPr>
              <w:t>（2）施工机械废气及运输车辆废气</w:t>
            </w:r>
          </w:p>
          <w:p>
            <w:pPr>
              <w:adjustRightInd w:val="0"/>
              <w:snapToGrid w:val="0"/>
              <w:spacing w:line="360" w:lineRule="auto"/>
              <w:ind w:firstLine="480" w:firstLineChars="200"/>
              <w:rPr>
                <w:kern w:val="28"/>
                <w:sz w:val="24"/>
              </w:rPr>
            </w:pPr>
            <w:r>
              <w:rPr>
                <w:rFonts w:hint="eastAsia"/>
                <w:kern w:val="28"/>
                <w:sz w:val="24"/>
              </w:rPr>
              <w:t>施工过程中使用的燃油设备（如推土机、打桩机等）以及运输车辆产生的废气具有分散、流动的特点，主要特征污染物为CO、NOx、SO</w:t>
            </w:r>
            <w:r>
              <w:rPr>
                <w:rFonts w:hint="eastAsia"/>
                <w:kern w:val="28"/>
                <w:sz w:val="24"/>
                <w:vertAlign w:val="subscript"/>
              </w:rPr>
              <w:t>2</w:t>
            </w:r>
            <w:r>
              <w:rPr>
                <w:rFonts w:hint="eastAsia"/>
                <w:kern w:val="28"/>
                <w:sz w:val="24"/>
              </w:rPr>
              <w:t>和烃类等，多为间断性排放。施工机械废气及车辆排放的废气主要由其所采用的燃料和设备决定，如果采用清洁型燃料，在车辆及接卸设备排气口加装废气过滤器，同时保持车辆及有关设备化油器、空气过滤器等部位的清洁，此类废气污染的影响基本可以接受。</w:t>
            </w:r>
          </w:p>
          <w:p>
            <w:pPr>
              <w:tabs>
                <w:tab w:val="left" w:pos="624"/>
              </w:tabs>
              <w:adjustRightInd w:val="0"/>
              <w:snapToGrid w:val="0"/>
              <w:spacing w:line="360" w:lineRule="auto"/>
              <w:ind w:firstLine="482" w:firstLineChars="200"/>
              <w:rPr>
                <w:rFonts w:hint="eastAsia"/>
                <w:b/>
                <w:bCs/>
                <w:sz w:val="24"/>
              </w:rPr>
            </w:pPr>
            <w:r>
              <w:rPr>
                <w:b/>
                <w:bCs/>
                <w:sz w:val="24"/>
              </w:rPr>
              <w:t>2、施工期</w:t>
            </w:r>
            <w:r>
              <w:rPr>
                <w:rFonts w:hint="eastAsia"/>
                <w:b/>
                <w:bCs/>
                <w:sz w:val="24"/>
              </w:rPr>
              <w:t>水污染治理措施</w:t>
            </w:r>
          </w:p>
          <w:p>
            <w:pPr>
              <w:tabs>
                <w:tab w:val="left" w:pos="624"/>
              </w:tabs>
              <w:adjustRightInd w:val="0"/>
              <w:snapToGrid w:val="0"/>
              <w:spacing w:line="360" w:lineRule="auto"/>
              <w:ind w:firstLine="480" w:firstLineChars="200"/>
              <w:rPr>
                <w:rFonts w:hint="eastAsia"/>
                <w:sz w:val="24"/>
              </w:rPr>
            </w:pPr>
            <w:r>
              <w:rPr>
                <w:rFonts w:hint="eastAsia"/>
                <w:sz w:val="24"/>
              </w:rPr>
              <w:t>（1）施工废水</w:t>
            </w:r>
          </w:p>
          <w:p>
            <w:pPr>
              <w:tabs>
                <w:tab w:val="left" w:pos="624"/>
              </w:tabs>
              <w:adjustRightInd w:val="0"/>
              <w:snapToGrid w:val="0"/>
              <w:spacing w:line="360" w:lineRule="auto"/>
              <w:ind w:firstLine="480" w:firstLineChars="200"/>
              <w:rPr>
                <w:rFonts w:hint="eastAsia"/>
                <w:sz w:val="24"/>
              </w:rPr>
            </w:pPr>
            <w:r>
              <w:rPr>
                <w:rFonts w:hint="eastAsia"/>
                <w:sz w:val="24"/>
              </w:rPr>
              <w:t>施工期混凝土主要使用商品混凝土，基本不排放混凝土搅拌废水。施工废水主要来自施工机械设备的维修、清洗产生的少量废水，其成分主要是悬浮物和石油类污染物；施工车辆及机械设备冲洗水主要成分是悬浮物和石油类，悬浮物浓度为500～3000mg/L，石油类浓度为 20mg/L；施工现场清洗、建材清洗、混凝土养护等废水产生量与现场管理水平关系较大，若能做到从严管理、节约用水、杜绝泄漏，则排水量可减少一半左右，此类废水主要成分为石油类和悬浮物。项目施工车辆和机械设备清洗废水经收集隔油、沉淀处理后回用于场地洒水抑尘，不外排。</w:t>
            </w:r>
          </w:p>
          <w:p>
            <w:pPr>
              <w:tabs>
                <w:tab w:val="left" w:pos="624"/>
              </w:tabs>
              <w:adjustRightInd w:val="0"/>
              <w:snapToGrid w:val="0"/>
              <w:spacing w:line="360" w:lineRule="auto"/>
              <w:ind w:firstLine="480" w:firstLineChars="200"/>
              <w:rPr>
                <w:rFonts w:hint="eastAsia"/>
                <w:sz w:val="24"/>
              </w:rPr>
            </w:pPr>
            <w:r>
              <w:rPr>
                <w:rFonts w:hint="eastAsia"/>
                <w:sz w:val="24"/>
              </w:rPr>
              <w:t>（2）生活污水</w:t>
            </w:r>
          </w:p>
          <w:p>
            <w:pPr>
              <w:tabs>
                <w:tab w:val="left" w:pos="624"/>
              </w:tabs>
              <w:adjustRightInd w:val="0"/>
              <w:snapToGrid w:val="0"/>
              <w:spacing w:line="360" w:lineRule="auto"/>
              <w:ind w:firstLine="480" w:firstLineChars="200"/>
              <w:rPr>
                <w:sz w:val="24"/>
              </w:rPr>
            </w:pPr>
            <w:r>
              <w:rPr>
                <w:rFonts w:hint="eastAsia"/>
                <w:sz w:val="24"/>
              </w:rPr>
              <w:t>本项目施工建设过程中每天平均施工人员约50人，施工人员平均用水量按50L/（人•d）计，则施工期生活用水量为2.5m</w:t>
            </w:r>
            <w:r>
              <w:rPr>
                <w:rFonts w:hint="eastAsia"/>
                <w:sz w:val="24"/>
                <w:vertAlign w:val="superscript"/>
              </w:rPr>
              <w:t>3</w:t>
            </w:r>
            <w:r>
              <w:rPr>
                <w:rFonts w:hint="eastAsia"/>
                <w:sz w:val="24"/>
              </w:rPr>
              <w:t>/d，其污水排放系数取值0.8，则生活污水量2.0m</w:t>
            </w:r>
            <w:r>
              <w:rPr>
                <w:rFonts w:hint="eastAsia"/>
                <w:sz w:val="24"/>
                <w:vertAlign w:val="superscript"/>
              </w:rPr>
              <w:t>3</w:t>
            </w:r>
            <w:r>
              <w:rPr>
                <w:rFonts w:hint="eastAsia"/>
                <w:sz w:val="24"/>
              </w:rPr>
              <w:t>/d。生活污水主要污染物为COD、BOD</w:t>
            </w:r>
            <w:r>
              <w:rPr>
                <w:rFonts w:hint="eastAsia"/>
                <w:sz w:val="24"/>
                <w:vertAlign w:val="subscript"/>
              </w:rPr>
              <w:t>5</w:t>
            </w:r>
            <w:r>
              <w:rPr>
                <w:rFonts w:hint="eastAsia"/>
                <w:sz w:val="24"/>
              </w:rPr>
              <w:t>、SS、NH</w:t>
            </w:r>
            <w:r>
              <w:rPr>
                <w:rFonts w:hint="eastAsia"/>
                <w:sz w:val="24"/>
                <w:vertAlign w:val="subscript"/>
              </w:rPr>
              <w:t>3</w:t>
            </w:r>
            <w:r>
              <w:rPr>
                <w:rFonts w:hint="eastAsia"/>
                <w:sz w:val="24"/>
              </w:rPr>
              <w:t>-N等，施工人员租住附近村落，办公、生活依托周边村落现有的设施，产生的生活污水经化粪池处理</w:t>
            </w:r>
            <w:r>
              <w:rPr>
                <w:rFonts w:hint="eastAsia"/>
                <w:sz w:val="24"/>
                <w:lang w:val="en-US" w:eastAsia="zh-CN"/>
              </w:rPr>
              <w:t>进入厂区污水处理站处理达标后排入黄蜡河</w:t>
            </w:r>
            <w:r>
              <w:rPr>
                <w:rFonts w:hint="eastAsia"/>
                <w:sz w:val="24"/>
              </w:rPr>
              <w:t>。</w:t>
            </w:r>
          </w:p>
          <w:p>
            <w:pPr>
              <w:tabs>
                <w:tab w:val="left" w:pos="624"/>
              </w:tabs>
              <w:adjustRightInd w:val="0"/>
              <w:snapToGrid w:val="0"/>
              <w:spacing w:line="360" w:lineRule="auto"/>
              <w:ind w:firstLine="482" w:firstLineChars="200"/>
              <w:rPr>
                <w:b/>
                <w:bCs/>
                <w:sz w:val="24"/>
              </w:rPr>
            </w:pPr>
            <w:r>
              <w:rPr>
                <w:b/>
                <w:bCs/>
                <w:sz w:val="24"/>
              </w:rPr>
              <w:t>3、施工期噪声处理措施</w:t>
            </w:r>
          </w:p>
          <w:p>
            <w:pPr>
              <w:adjustRightInd w:val="0"/>
              <w:snapToGrid w:val="0"/>
              <w:spacing w:line="360" w:lineRule="auto"/>
              <w:ind w:firstLine="480" w:firstLineChars="200"/>
              <w:rPr>
                <w:sz w:val="24"/>
              </w:rPr>
            </w:pPr>
            <w:r>
              <w:rPr>
                <w:sz w:val="24"/>
              </w:rPr>
              <w:t>（1）施工期机械设备噪声</w:t>
            </w:r>
          </w:p>
          <w:p>
            <w:pPr>
              <w:adjustRightInd w:val="0"/>
              <w:snapToGrid w:val="0"/>
              <w:spacing w:line="360" w:lineRule="auto"/>
              <w:ind w:firstLine="480" w:firstLineChars="200"/>
              <w:rPr>
                <w:sz w:val="24"/>
              </w:rPr>
            </w:pPr>
            <w:r>
              <w:rPr>
                <w:sz w:val="24"/>
              </w:rPr>
              <w:t>根据噪声源分析可知，施工场地的噪声源主要为各类高噪声施工机械，这些机械的噪声级一般在82~105dB</w:t>
            </w:r>
            <w:r>
              <w:rPr>
                <w:rFonts w:hint="eastAsia"/>
                <w:sz w:val="24"/>
                <w:lang w:eastAsia="zh-CN"/>
              </w:rPr>
              <w:t>（</w:t>
            </w:r>
            <w:r>
              <w:rPr>
                <w:sz w:val="24"/>
              </w:rPr>
              <w:t>A</w:t>
            </w:r>
            <w:r>
              <w:rPr>
                <w:rFonts w:hint="eastAsia"/>
                <w:sz w:val="24"/>
              </w:rPr>
              <w:t>）</w:t>
            </w:r>
            <w:r>
              <w:rPr>
                <w:sz w:val="24"/>
              </w:rPr>
              <w:t>之间，为了有效控制噪声，进行以下降噪措施：</w:t>
            </w:r>
          </w:p>
          <w:p>
            <w:pPr>
              <w:adjustRightInd w:val="0"/>
              <w:snapToGrid w:val="0"/>
              <w:spacing w:line="360" w:lineRule="auto"/>
              <w:ind w:firstLine="480" w:firstLineChars="200"/>
              <w:rPr>
                <w:sz w:val="24"/>
              </w:rPr>
            </w:pPr>
            <w:r>
              <w:rPr>
                <w:sz w:val="24"/>
              </w:rPr>
              <w:t>①使用的主要机械设备应为低噪声机械设备，对设备应采取减震防噪措施。同时在施工过程中施工单位应设专人对设备进行定期保养和维护。</w:t>
            </w:r>
          </w:p>
          <w:p>
            <w:pPr>
              <w:adjustRightInd w:val="0"/>
              <w:snapToGrid w:val="0"/>
              <w:spacing w:line="360" w:lineRule="auto"/>
              <w:ind w:firstLine="480" w:firstLineChars="200"/>
              <w:rPr>
                <w:sz w:val="24"/>
              </w:rPr>
            </w:pPr>
            <w:r>
              <w:rPr>
                <w:sz w:val="24"/>
              </w:rPr>
              <w:t>②采用距离防护措施：设备尽量不集中时间段施工，并将其尽可能移至距离敏感点较远处，同时对固定的机械设备尽量入棚操作。</w:t>
            </w:r>
          </w:p>
          <w:p>
            <w:pPr>
              <w:adjustRightInd w:val="0"/>
              <w:snapToGrid w:val="0"/>
              <w:spacing w:line="360" w:lineRule="auto"/>
              <w:ind w:firstLine="480" w:firstLineChars="200"/>
              <w:rPr>
                <w:sz w:val="24"/>
              </w:rPr>
            </w:pPr>
            <w:r>
              <w:rPr>
                <w:sz w:val="24"/>
              </w:rPr>
              <w:t>③采用声屏障措施：在施工场地四周设立围墙，能起到一定降噪作用；在施工的结构阶段和装修阶段，对建筑物的外部也应采用围挡措施，以减轻设备噪声对周围环境的影响。因此建议在施工时序安排上，先期进行场地周边的建设，待周边建筑完成后，可将施工设备移至场址中部，利用周边已建成的建筑能有效阻隔一部分</w:t>
            </w:r>
            <w:r>
              <w:rPr>
                <w:rFonts w:hint="eastAsia"/>
                <w:sz w:val="24"/>
              </w:rPr>
              <w:t>噪声扩散</w:t>
            </w:r>
            <w:r>
              <w:rPr>
                <w:sz w:val="24"/>
              </w:rPr>
              <w:t>，减少对周边单位影响时间和程度。</w:t>
            </w:r>
          </w:p>
          <w:p>
            <w:pPr>
              <w:adjustRightInd w:val="0"/>
              <w:snapToGrid w:val="0"/>
              <w:spacing w:line="360" w:lineRule="auto"/>
              <w:ind w:firstLine="480" w:firstLineChars="200"/>
              <w:rPr>
                <w:sz w:val="24"/>
              </w:rPr>
            </w:pPr>
            <w:r>
              <w:rPr>
                <w:sz w:val="24"/>
              </w:rPr>
              <w:t>④建设与施工单位还应与施工场地周围单位、居民建立良好的关系，及时让他们了解施工进度及采取的降噪措施，并取得大家的共同理解。</w:t>
            </w:r>
          </w:p>
          <w:p>
            <w:pPr>
              <w:adjustRightInd w:val="0"/>
              <w:snapToGrid w:val="0"/>
              <w:spacing w:line="360" w:lineRule="auto"/>
              <w:ind w:firstLine="480" w:firstLineChars="200"/>
              <w:rPr>
                <w:sz w:val="24"/>
              </w:rPr>
            </w:pPr>
            <w:r>
              <w:rPr>
                <w:sz w:val="24"/>
              </w:rPr>
              <w:t>⑥禁止午间、夜间施工作业，禁止使用电锯、风镐等高噪声设备。</w:t>
            </w:r>
          </w:p>
          <w:p>
            <w:pPr>
              <w:adjustRightInd w:val="0"/>
              <w:snapToGrid w:val="0"/>
              <w:spacing w:line="360" w:lineRule="auto"/>
              <w:ind w:firstLine="480" w:firstLineChars="200"/>
              <w:rPr>
                <w:sz w:val="24"/>
              </w:rPr>
            </w:pPr>
            <w:r>
              <w:rPr>
                <w:sz w:val="24"/>
              </w:rPr>
              <w:t>尽管施工噪声会对环境产生一定的不利影响，但施工期相对而言噪声影响是短暂的，一旦施工活动结束，施工噪声影响也随之消失。</w:t>
            </w:r>
          </w:p>
          <w:p>
            <w:pPr>
              <w:adjustRightInd w:val="0"/>
              <w:snapToGrid w:val="0"/>
              <w:spacing w:line="360" w:lineRule="auto"/>
              <w:ind w:firstLine="480" w:firstLineChars="200"/>
              <w:rPr>
                <w:sz w:val="24"/>
              </w:rPr>
            </w:pPr>
            <w:r>
              <w:rPr>
                <w:sz w:val="24"/>
              </w:rPr>
              <w:t>（2）运输车辆噪声</w:t>
            </w:r>
          </w:p>
          <w:p>
            <w:pPr>
              <w:adjustRightInd w:val="0"/>
              <w:snapToGrid w:val="0"/>
              <w:spacing w:line="360" w:lineRule="auto"/>
              <w:ind w:firstLine="480" w:firstLineChars="200"/>
              <w:rPr>
                <w:sz w:val="24"/>
              </w:rPr>
            </w:pPr>
            <w:r>
              <w:rPr>
                <w:sz w:val="24"/>
              </w:rPr>
              <w:t>项目建设期间，进出项目施工场地的运输车辆将使项目所在地车流量增大，导致项目附近交通噪声增高。但这种噪声具有间歇性和可逆性，随着施工期的结束而消失。项目施工期间，应加强对运输车辆的管理，在距敏感点较近的路段应减速行驶、禁止鸣笛、禁止在夜间运输建材或建筑垃圾。采取以上措施后，项目运输车辆对周围环境影响较小。</w:t>
            </w:r>
          </w:p>
          <w:p>
            <w:pPr>
              <w:pStyle w:val="32"/>
              <w:adjustRightInd w:val="0"/>
              <w:snapToGrid w:val="0"/>
              <w:spacing w:after="0" w:line="360" w:lineRule="auto"/>
              <w:ind w:left="0" w:leftChars="0" w:firstLine="480"/>
              <w:rPr>
                <w:szCs w:val="24"/>
              </w:rPr>
            </w:pPr>
            <w:r>
              <w:rPr>
                <w:szCs w:val="24"/>
              </w:rPr>
              <w:t>项目施工期间噪声影响将随着施工期的结束而消除。</w:t>
            </w:r>
          </w:p>
          <w:p>
            <w:pPr>
              <w:adjustRightInd w:val="0"/>
              <w:snapToGrid w:val="0"/>
              <w:spacing w:line="360" w:lineRule="auto"/>
              <w:ind w:firstLine="482" w:firstLineChars="200"/>
              <w:rPr>
                <w:b/>
                <w:sz w:val="24"/>
              </w:rPr>
            </w:pPr>
            <w:r>
              <w:rPr>
                <w:b/>
                <w:sz w:val="24"/>
              </w:rPr>
              <w:t>4、施工期固体废物</w:t>
            </w:r>
            <w:r>
              <w:rPr>
                <w:b/>
                <w:bCs/>
                <w:sz w:val="24"/>
              </w:rPr>
              <w:t>处理措施</w:t>
            </w:r>
          </w:p>
          <w:p>
            <w:pPr>
              <w:adjustRightInd w:val="0"/>
              <w:snapToGrid w:val="0"/>
              <w:spacing w:line="360" w:lineRule="auto"/>
              <w:ind w:firstLine="480" w:firstLineChars="200"/>
              <w:rPr>
                <w:sz w:val="24"/>
              </w:rPr>
            </w:pPr>
            <w:r>
              <w:rPr>
                <w:sz w:val="24"/>
              </w:rPr>
              <w:t>项目施工期固体废物主要来自</w:t>
            </w:r>
            <w:r>
              <w:rPr>
                <w:bCs/>
                <w:sz w:val="24"/>
              </w:rPr>
              <w:t>建筑垃圾</w:t>
            </w:r>
            <w:r>
              <w:rPr>
                <w:sz w:val="24"/>
              </w:rPr>
              <w:t>、施工人员生活垃圾。</w:t>
            </w:r>
          </w:p>
          <w:p>
            <w:pPr>
              <w:tabs>
                <w:tab w:val="left" w:pos="600"/>
              </w:tabs>
              <w:adjustRightInd w:val="0"/>
              <w:snapToGrid w:val="0"/>
              <w:spacing w:line="360" w:lineRule="auto"/>
              <w:ind w:firstLine="480" w:firstLineChars="200"/>
              <w:rPr>
                <w:sz w:val="24"/>
              </w:rPr>
            </w:pPr>
            <w:r>
              <w:rPr>
                <w:sz w:val="24"/>
              </w:rPr>
              <w:t>（1）建筑垃圾</w:t>
            </w:r>
          </w:p>
          <w:p>
            <w:pPr>
              <w:tabs>
                <w:tab w:val="left" w:pos="600"/>
              </w:tabs>
              <w:adjustRightInd w:val="0"/>
              <w:snapToGrid w:val="0"/>
              <w:spacing w:line="360" w:lineRule="auto"/>
              <w:ind w:firstLine="480" w:firstLineChars="200"/>
              <w:rPr>
                <w:sz w:val="24"/>
              </w:rPr>
            </w:pPr>
            <w:r>
              <w:rPr>
                <w:sz w:val="24"/>
              </w:rPr>
              <w:t>建筑垃圾产生量与施工水平、管理水平、建筑类型有直接联系，主要包括砂土、碎砖头、混凝土块、弃渣、废钢筋等固废。本项目完全建成后产生的建</w:t>
            </w:r>
            <w:r>
              <w:rPr>
                <w:bCs/>
                <w:sz w:val="24"/>
              </w:rPr>
              <w:t>筑垃圾需</w:t>
            </w:r>
            <w:r>
              <w:rPr>
                <w:sz w:val="24"/>
              </w:rPr>
              <w:t>在固定地点暂存，尽量缩短暂存的时间，建筑垃圾分类收集，能回收利用的回收利用，不能回收的运至建筑垃圾指定的地方处置。同时要做好建筑垃圾暂存点的防护工作，避免风吹、雨淋散失或流失。</w:t>
            </w:r>
          </w:p>
          <w:p>
            <w:pPr>
              <w:adjustRightInd w:val="0"/>
              <w:snapToGrid w:val="0"/>
              <w:spacing w:line="360" w:lineRule="auto"/>
              <w:ind w:firstLine="480" w:firstLineChars="200"/>
              <w:rPr>
                <w:sz w:val="24"/>
              </w:rPr>
            </w:pPr>
            <w:r>
              <w:rPr>
                <w:rFonts w:hint="eastAsia"/>
                <w:sz w:val="24"/>
              </w:rPr>
              <w:t>（2）</w:t>
            </w:r>
            <w:r>
              <w:rPr>
                <w:sz w:val="24"/>
              </w:rPr>
              <w:t>弃土</w:t>
            </w:r>
          </w:p>
          <w:p>
            <w:pPr>
              <w:adjustRightInd w:val="0"/>
              <w:snapToGrid w:val="0"/>
              <w:spacing w:line="360" w:lineRule="auto"/>
              <w:ind w:firstLine="480" w:firstLineChars="200"/>
              <w:rPr>
                <w:sz w:val="24"/>
              </w:rPr>
            </w:pPr>
            <w:r>
              <w:rPr>
                <w:sz w:val="24"/>
              </w:rPr>
              <w:t>本</w:t>
            </w:r>
            <w:r>
              <w:rPr>
                <w:rFonts w:hint="eastAsia"/>
                <w:sz w:val="24"/>
              </w:rPr>
              <w:t>项目</w:t>
            </w:r>
            <w:r>
              <w:rPr>
                <w:sz w:val="24"/>
              </w:rPr>
              <w:t>开挖回填主要为场地平整及</w:t>
            </w:r>
            <w:r>
              <w:rPr>
                <w:bCs/>
                <w:kern w:val="0"/>
                <w:sz w:val="24"/>
              </w:rPr>
              <w:t>基础工程，</w:t>
            </w:r>
            <w:r>
              <w:rPr>
                <w:sz w:val="24"/>
              </w:rPr>
              <w:t>根据</w:t>
            </w:r>
            <w:r>
              <w:rPr>
                <w:rFonts w:hint="eastAsia"/>
                <w:sz w:val="24"/>
              </w:rPr>
              <w:t>厂</w:t>
            </w:r>
            <w:r>
              <w:rPr>
                <w:sz w:val="24"/>
              </w:rPr>
              <w:t>址实际情况土石方用于回填，无弃渣量，无需设置取土场。</w:t>
            </w:r>
          </w:p>
          <w:p>
            <w:pPr>
              <w:tabs>
                <w:tab w:val="left" w:pos="600"/>
              </w:tabs>
              <w:adjustRightInd w:val="0"/>
              <w:snapToGrid w:val="0"/>
              <w:spacing w:line="360" w:lineRule="auto"/>
              <w:ind w:firstLine="480" w:firstLineChars="200"/>
              <w:rPr>
                <w:sz w:val="24"/>
              </w:rPr>
            </w:pPr>
            <w:r>
              <w:rPr>
                <w:sz w:val="24"/>
              </w:rPr>
              <w:t>（</w:t>
            </w:r>
            <w:r>
              <w:rPr>
                <w:rFonts w:hint="eastAsia"/>
                <w:sz w:val="24"/>
              </w:rPr>
              <w:t>3</w:t>
            </w:r>
            <w:r>
              <w:rPr>
                <w:sz w:val="24"/>
              </w:rPr>
              <w:t>）施工人员生活垃圾</w:t>
            </w:r>
          </w:p>
          <w:p>
            <w:pPr>
              <w:tabs>
                <w:tab w:val="left" w:pos="600"/>
              </w:tabs>
              <w:adjustRightInd w:val="0"/>
              <w:snapToGrid w:val="0"/>
              <w:spacing w:line="360" w:lineRule="auto"/>
              <w:ind w:firstLine="480" w:firstLineChars="200"/>
              <w:rPr>
                <w:sz w:val="24"/>
              </w:rPr>
            </w:pPr>
            <w:r>
              <w:rPr>
                <w:bCs/>
                <w:sz w:val="24"/>
              </w:rPr>
              <w:t>施工人员的生活垃圾要及时清运，随意堆放易</w:t>
            </w:r>
            <w:r>
              <w:rPr>
                <w:rFonts w:hint="eastAsia"/>
                <w:bCs/>
                <w:sz w:val="24"/>
              </w:rPr>
              <w:t>滋生</w:t>
            </w:r>
            <w:r>
              <w:rPr>
                <w:bCs/>
                <w:sz w:val="24"/>
              </w:rPr>
              <w:t>苍蝇，产生恶臭，影响施工人员和周边居民的生活卫生环境，项目施工期生活垃圾应设置垃圾桶定点收集，收集后统一交由环卫部门清运及处置</w:t>
            </w:r>
            <w:r>
              <w:rPr>
                <w:sz w:val="24"/>
              </w:rPr>
              <w:t>。</w:t>
            </w:r>
          </w:p>
          <w:p>
            <w:pPr>
              <w:adjustRightInd w:val="0"/>
              <w:snapToGrid w:val="0"/>
              <w:spacing w:line="360" w:lineRule="auto"/>
              <w:ind w:firstLine="480" w:firstLineChars="200"/>
              <w:jc w:val="left"/>
              <w:rPr>
                <w:sz w:val="24"/>
              </w:rPr>
            </w:pPr>
            <w:r>
              <w:rPr>
                <w:sz w:val="24"/>
              </w:rPr>
              <w:t>综上所述，随着施工的完成，施工过程中产生的大气、噪声、水环境污染也将一同消失。施工期的影响是暂时的，施工结束后影响区域的各环境要素基本可以得到恢复。只要项目施工期认真制定和落实施工期应该采取的环保对策措施，项目施工的环境影响问题可得到消除或有效控制，对环境影响降至</w:t>
            </w:r>
            <w:r>
              <w:rPr>
                <w:rFonts w:hint="eastAsia"/>
                <w:sz w:val="24"/>
              </w:rPr>
              <w:t>最低程度</w:t>
            </w:r>
            <w:r>
              <w:rPr>
                <w:sz w:val="24"/>
              </w:rPr>
              <w:t>。</w:t>
            </w:r>
          </w:p>
          <w:p>
            <w:pPr>
              <w:adjustRightInd w:val="0"/>
              <w:snapToGrid w:val="0"/>
              <w:spacing w:line="360" w:lineRule="auto"/>
              <w:ind w:firstLine="480" w:firstLineChars="200"/>
              <w:jc w:val="left"/>
              <w:rPr>
                <w:rFonts w:hint="eastAsia"/>
                <w:sz w:val="24"/>
              </w:rPr>
            </w:pPr>
            <w:r>
              <w:rPr>
                <w:rFonts w:hint="eastAsia"/>
                <w:sz w:val="24"/>
              </w:rPr>
              <w:t>5、生态环境</w:t>
            </w:r>
          </w:p>
          <w:p>
            <w:pPr>
              <w:spacing w:line="360" w:lineRule="auto"/>
              <w:ind w:firstLine="480"/>
              <w:rPr>
                <w:rFonts w:hint="default" w:ascii="Times New Roman" w:hAnsi="Times New Roman" w:eastAsia="宋体" w:cs="Times New Roman"/>
                <w:bCs/>
                <w:color w:val="000000" w:themeColor="text1"/>
                <w:spacing w:val="-10"/>
                <w:szCs w:val="21"/>
                <w14:textFill>
                  <w14:solidFill>
                    <w14:schemeClr w14:val="tx1"/>
                  </w14:solidFill>
                </w14:textFill>
              </w:rPr>
            </w:pPr>
            <w:r>
              <w:rPr>
                <w:rFonts w:hint="eastAsia"/>
                <w:sz w:val="24"/>
              </w:rPr>
              <w:t>项目施工期对生态的影响主要为：土方开挖、回填将使场址原有的自然植被遭到破坏，地表植被裸露，从而使该地原有的生态结构发生一定的变化；产生的扬尘落到周围植物的叶面上，影响植物生长；施工噪声对周围野生动物生活产生一定影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8" w:type="pct"/>
            <w:tcMar>
              <w:left w:w="28" w:type="dxa"/>
              <w:right w:w="28" w:type="dxa"/>
            </w:tcMar>
            <w:vAlign w:val="center"/>
          </w:tcPr>
          <w:p>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措施</w:t>
            </w:r>
          </w:p>
        </w:tc>
        <w:tc>
          <w:tcPr>
            <w:tcW w:w="4691" w:type="pct"/>
            <w:vAlign w:val="center"/>
          </w:tcPr>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1、大气环境影响和保护措施分析</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（1）废气污染源及源强分析</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t>燃烧废气</w:t>
            </w:r>
          </w:p>
          <w:p>
            <w:pPr>
              <w:spacing w:line="360" w:lineRule="auto"/>
              <w:ind w:firstLine="480" w:firstLineChars="200"/>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本项目设置有</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台</w:t>
            </w:r>
            <w:r>
              <w:rPr>
                <w:rFonts w:hint="default" w:ascii="Times New Roman" w:hAnsi="Times New Roman" w:eastAsia="宋体" w:cs="Times New Roman"/>
                <w:color w:val="000000" w:themeColor="text1"/>
                <w:sz w:val="24"/>
                <w:szCs w:val="24"/>
                <w:u w:val="none"/>
                <w14:textFill>
                  <w14:solidFill>
                    <w14:schemeClr w14:val="tx1"/>
                  </w14:solidFill>
                </w14:textFill>
              </w:rPr>
              <w:t>生物质蒸汽锅炉</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，其型号为</w:t>
            </w:r>
            <w:r>
              <w:rPr>
                <w:rFonts w:hint="eastAsia" w:cs="Times New Roman"/>
                <w:color w:val="000000" w:themeColor="text1"/>
                <w:sz w:val="24"/>
                <w:szCs w:val="24"/>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t/h</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额定蒸发温度184℃，水的初始温度按20℃计；</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锅炉燃料为</w:t>
            </w:r>
            <w:r>
              <w:rPr>
                <w:rFonts w:hint="default" w:ascii="Times New Roman" w:hAnsi="Times New Roman" w:eastAsia="宋体" w:cs="Times New Roman"/>
                <w:color w:val="000000" w:themeColor="text1"/>
                <w:sz w:val="24"/>
                <w:szCs w:val="24"/>
                <w:u w:val="none"/>
                <w14:textFill>
                  <w14:solidFill>
                    <w14:schemeClr w14:val="tx1"/>
                  </w14:solidFill>
                </w14:textFill>
              </w:rPr>
              <w:t>生物质</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颗粒。根据业主提供资料，</w:t>
            </w:r>
            <w:r>
              <w:rPr>
                <w:rFonts w:hint="eastAsia" w:cs="Times New Roman"/>
                <w:color w:val="000000" w:themeColor="text1"/>
                <w:sz w:val="24"/>
                <w:szCs w:val="24"/>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t/h锅炉</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每天运行</w:t>
            </w:r>
            <w:r>
              <w:rPr>
                <w:rFonts w:hint="eastAsia" w:cs="Times New Roman"/>
                <w:color w:val="000000" w:themeColor="text1"/>
                <w:sz w:val="24"/>
                <w:szCs w:val="24"/>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小时，</w:t>
            </w:r>
            <w:r>
              <w:rPr>
                <w:rFonts w:hint="default" w:ascii="Times New Roman" w:hAnsi="Times New Roman" w:eastAsia="宋体" w:cs="Times New Roman"/>
                <w:color w:val="000000" w:themeColor="text1"/>
                <w:sz w:val="24"/>
                <w:szCs w:val="24"/>
                <w:u w:val="none"/>
                <w14:textFill>
                  <w14:solidFill>
                    <w14:schemeClr w14:val="tx1"/>
                  </w14:solidFill>
                </w14:textFill>
              </w:rPr>
              <w:t>根据</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u w:val="none"/>
                <w14:textFill>
                  <w14:solidFill>
                    <w14:schemeClr w14:val="tx1"/>
                  </w14:solidFill>
                </w14:textFill>
              </w:rPr>
              <w:t>蒸汽用量</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及所用生物质颗粒的低位发热量（</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3960cal/g</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及结合经验数值</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计算，本</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锅炉生物质颗粒用量约为</w:t>
            </w:r>
            <w:r>
              <w:rPr>
                <w:rFonts w:hint="eastAsia" w:cs="Times New Roman"/>
                <w:color w:val="000000" w:themeColor="text1"/>
                <w:sz w:val="24"/>
                <w:szCs w:val="24"/>
                <w:u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则结合</w:t>
            </w:r>
            <w:r>
              <w:rPr>
                <w:rFonts w:hint="default" w:ascii="Times New Roman" w:hAnsi="Times New Roman" w:eastAsia="宋体" w:cs="Times New Roman"/>
                <w:color w:val="000000" w:themeColor="text1"/>
                <w:sz w:val="24"/>
                <w:szCs w:val="24"/>
                <w:u w:val="none"/>
                <w14:textFill>
                  <w14:solidFill>
                    <w14:schemeClr w14:val="tx1"/>
                  </w14:solidFill>
                </w14:textFill>
              </w:rPr>
              <w:t>锅炉运行时间</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300d/a</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计算成型的生物质使用量约为</w:t>
            </w:r>
            <w:r>
              <w:rPr>
                <w:rFonts w:hint="eastAsia" w:cs="Times New Roman"/>
                <w:color w:val="000000" w:themeColor="text1"/>
                <w:sz w:val="24"/>
                <w:szCs w:val="24"/>
                <w:u w:val="none"/>
                <w:lang w:val="en-US" w:eastAsia="zh-CN"/>
                <w14:textFill>
                  <w14:solidFill>
                    <w14:schemeClr w14:val="tx1"/>
                  </w14:solidFill>
                </w14:textFill>
              </w:rPr>
              <w:t>540</w:t>
            </w:r>
            <w:r>
              <w:rPr>
                <w:rFonts w:hint="default" w:ascii="Times New Roman" w:hAnsi="Times New Roman" w:eastAsia="宋体" w:cs="Times New Roman"/>
                <w:color w:val="000000" w:themeColor="text1"/>
                <w:sz w:val="24"/>
                <w:szCs w:val="24"/>
                <w:u w:val="none"/>
                <w14:textFill>
                  <w14:solidFill>
                    <w14:schemeClr w14:val="tx1"/>
                  </w14:solidFill>
                </w14:textFill>
              </w:rPr>
              <w:t>t/a。</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u w:val="none"/>
                <w14:textFill>
                  <w14:solidFill>
                    <w14:schemeClr w14:val="tx1"/>
                  </w14:solidFill>
                </w14:textFill>
              </w:rPr>
              <w:t>所谓的生物质颗粒燃料，是由秸秆、稻草、稻壳、花生壳、棉籽壳等经过加工产生的块状环保新能源；</w:t>
            </w:r>
            <w:r>
              <w:rPr>
                <w:rFonts w:hint="default" w:ascii="Times New Roman" w:hAnsi="Times New Roman" w:eastAsia="宋体" w:cs="Times New Roman"/>
                <w:color w:val="000000" w:themeColor="text1"/>
                <w:sz w:val="24"/>
                <w:szCs w:val="24"/>
                <w:u w:val="none"/>
                <w14:textFill>
                  <w14:solidFill>
                    <w14:schemeClr w14:val="tx1"/>
                  </w14:solidFill>
                </w14:textFill>
              </w:rPr>
              <w:t>本项目锅炉生物质燃料燃烧后产生的废气中主要污染物为烟尘、SO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、NO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u w:val="none"/>
                <w14:textFill>
                  <w14:solidFill>
                    <w14:schemeClr w14:val="tx1"/>
                  </w14:solidFill>
                </w14:textFill>
              </w:rPr>
              <w:t>，</w:t>
            </w:r>
            <w:r>
              <w:rPr>
                <w:rFonts w:hint="default" w:ascii="Times New Roman" w:hAnsi="Times New Roman" w:eastAsia="宋体" w:cs="Times New Roman"/>
                <w:bCs/>
                <w:color w:val="000000" w:themeColor="text1"/>
                <w:sz w:val="24"/>
                <w:szCs w:val="24"/>
                <w:u w:val="none"/>
                <w14:textFill>
                  <w14:solidFill>
                    <w14:schemeClr w14:val="tx1"/>
                  </w14:solidFill>
                </w14:textFill>
              </w:rPr>
              <w:t>参照</w:t>
            </w:r>
            <w:r>
              <w:rPr>
                <w:rFonts w:hint="default" w:ascii="Times New Roman" w:hAnsi="Times New Roman" w:eastAsia="宋体" w:cs="Times New Roman"/>
                <w:color w:val="000000" w:themeColor="text1"/>
                <w:kern w:val="0"/>
                <w:sz w:val="24"/>
                <w14:textFill>
                  <w14:solidFill>
                    <w14:schemeClr w14:val="tx1"/>
                  </w14:solidFill>
                </w14:textFill>
              </w:rPr>
              <w:t>《排放源统计调查产排污核算方法和系数手册（公告2021年第24号）》中</w:t>
            </w:r>
            <w:r>
              <w:rPr>
                <w:rFonts w:hint="default" w:ascii="Times New Roman" w:hAnsi="Times New Roman" w:eastAsia="宋体" w:cs="Times New Roman"/>
                <w:color w:val="000000" w:themeColor="text1"/>
                <w:sz w:val="24"/>
                <w14:textFill>
                  <w14:solidFill>
                    <w14:schemeClr w14:val="tx1"/>
                  </w14:solidFill>
                </w14:textFill>
              </w:rPr>
              <w:t>（产排污量核算系数手册），燃烧生物质成型燃料的烟气排放系数以及SO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、NOx的产污系数计算如下：</w:t>
            </w:r>
          </w:p>
          <w:p>
            <w:pPr>
              <w:widowControl/>
              <w:jc w:val="center"/>
              <w:rPr>
                <w:rFonts w:hint="default" w:ascii="Times New Roman" w:hAnsi="Times New Roman" w:eastAsia="宋体" w:cs="Times New Roman"/>
                <w:b/>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 xml:space="preserve">表4-1  </w:t>
            </w:r>
            <w:r>
              <w:rPr>
                <w:rFonts w:hint="default" w:ascii="Times New Roman" w:hAnsi="Times New Roman" w:eastAsia="宋体" w:cs="Times New Roman"/>
                <w:b/>
                <w:color w:val="000000" w:themeColor="text1"/>
                <w:sz w:val="24"/>
                <w:szCs w:val="24"/>
                <w:u w:val="none"/>
                <w14:textFill>
                  <w14:solidFill>
                    <w14:schemeClr w14:val="tx1"/>
                  </w14:solidFill>
                </w14:textFill>
              </w:rPr>
              <w:t>工业锅炉 （热力生产和供应行业）产排污系数表-生物质工业锅炉</w:t>
            </w:r>
          </w:p>
          <w:tbl>
            <w:tblPr>
              <w:tblStyle w:val="33"/>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688"/>
              <w:gridCol w:w="558"/>
              <w:gridCol w:w="1259"/>
              <w:gridCol w:w="1817"/>
              <w:gridCol w:w="842"/>
              <w:gridCol w:w="942"/>
              <w:gridCol w:w="1052"/>
              <w:gridCol w:w="1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147" w:type="pct"/>
                  <w:gridSpan w:val="5"/>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《产排污量核算系数手册》</w:t>
                  </w:r>
                </w:p>
              </w:tc>
              <w:tc>
                <w:tcPr>
                  <w:tcW w:w="1852" w:type="pct"/>
                  <w:gridSpan w:val="3"/>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20"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产品名称</w:t>
                  </w:r>
                </w:p>
              </w:tc>
              <w:tc>
                <w:tcPr>
                  <w:tcW w:w="340"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原料名称</w:t>
                  </w:r>
                </w:p>
              </w:tc>
              <w:tc>
                <w:tcPr>
                  <w:tcW w:w="7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指标</w:t>
                  </w:r>
                </w:p>
              </w:tc>
              <w:tc>
                <w:tcPr>
                  <w:tcW w:w="11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系数单位</w:t>
                  </w:r>
                </w:p>
              </w:tc>
              <w:tc>
                <w:tcPr>
                  <w:tcW w:w="51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产污系数</w:t>
                  </w:r>
                </w:p>
              </w:tc>
              <w:tc>
                <w:tcPr>
                  <w:tcW w:w="574"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原料使用量t/a</w:t>
                  </w:r>
                </w:p>
              </w:tc>
              <w:tc>
                <w:tcPr>
                  <w:tcW w:w="64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w:t>
                  </w:r>
                </w:p>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3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20" w:type="pct"/>
                  <w:vMerge w:val="restar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蒸汽</w:t>
                  </w:r>
                </w:p>
              </w:tc>
              <w:tc>
                <w:tcPr>
                  <w:tcW w:w="340" w:type="pct"/>
                  <w:vMerge w:val="restar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生物质燃料</w:t>
                  </w:r>
                </w:p>
              </w:tc>
              <w:tc>
                <w:tcPr>
                  <w:tcW w:w="7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工业废气量</w:t>
                  </w:r>
                </w:p>
              </w:tc>
              <w:tc>
                <w:tcPr>
                  <w:tcW w:w="11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标立方米/吨-原料</w:t>
                  </w:r>
                </w:p>
              </w:tc>
              <w:tc>
                <w:tcPr>
                  <w:tcW w:w="51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6240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574"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540</w:t>
                  </w:r>
                </w:p>
              </w:tc>
              <w:tc>
                <w:tcPr>
                  <w:tcW w:w="1278" w:type="pct"/>
                  <w:gridSpan w:val="2"/>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3369751.2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w:t>
                  </w:r>
                  <w:r>
                    <w:rPr>
                      <w:rFonts w:hint="eastAsia" w:cs="Times New Roman"/>
                      <w:color w:val="000000" w:themeColor="text1"/>
                      <w:sz w:val="21"/>
                      <w:szCs w:val="21"/>
                      <w:lang w:val="en-US" w:eastAsia="zh-CN"/>
                      <w14:textFill>
                        <w14:solidFill>
                          <w14:schemeClr w14:val="tx1"/>
                        </w14:solidFill>
                      </w14:textFill>
                    </w:rPr>
                    <w:t>1872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7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1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kg/吨-原料</w:t>
                  </w:r>
                </w:p>
              </w:tc>
              <w:tc>
                <w:tcPr>
                  <w:tcW w:w="51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c>
                <w:tcPr>
                  <w:tcW w:w="57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540</w:t>
                  </w:r>
                </w:p>
              </w:tc>
              <w:tc>
                <w:tcPr>
                  <w:tcW w:w="64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.27</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7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11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kg/吨-原料</w:t>
                  </w:r>
                </w:p>
              </w:tc>
              <w:tc>
                <w:tcPr>
                  <w:tcW w:w="51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17S</w:t>
                  </w:r>
                </w:p>
              </w:tc>
              <w:tc>
                <w:tcPr>
                  <w:tcW w:w="57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540</w:t>
                  </w:r>
                </w:p>
              </w:tc>
              <w:tc>
                <w:tcPr>
                  <w:tcW w:w="64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368</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42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7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11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kg/吨-原料</w:t>
                  </w:r>
                </w:p>
              </w:tc>
              <w:tc>
                <w:tcPr>
                  <w:tcW w:w="511"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p>
              </w:tc>
              <w:tc>
                <w:tcPr>
                  <w:tcW w:w="57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540</w:t>
                  </w:r>
                </w:p>
              </w:tc>
              <w:tc>
                <w:tcPr>
                  <w:tcW w:w="64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552</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307</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561"/>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注：二氧化硫的产排污系数是以含硫量（S%）的形式表示的，其中含硫量（S%）是指生物质收到基硫分含量，以质量百分比的形式表示。例如生物质中含硫量（S%）0.1%，则S=0.1。</w:t>
            </w:r>
          </w:p>
          <w:p>
            <w:pPr>
              <w:spacing w:line="360" w:lineRule="auto"/>
              <w:ind w:firstLine="480" w:firstLineChars="200"/>
              <w:rPr>
                <w:rFonts w:hint="default" w:ascii="Times New Roman" w:hAnsi="Times New Roman" w:eastAsia="宋体" w:cs="Times New Roman"/>
                <w:color w:val="000000" w:themeColor="text1"/>
                <w:sz w:val="24"/>
                <w:szCs w:val="24"/>
                <w:u w:val="none"/>
                <w:lang w:val="en-US"/>
                <w14:textFill>
                  <w14:solidFill>
                    <w14:schemeClr w14:val="tx1"/>
                  </w14:solidFill>
                </w14:textFill>
              </w:rPr>
            </w:pP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根据生物质成型燃料供货方提供的“生物质燃料检测报告”得，本项目外购的生物质成型燃料中收到基硫分S取值为0.04。</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排放源统计调查产排污核算方法和系数手册</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中产排污核算手册可知，本项目除尘措施采用“旋风除尘+布袋除尘器”，除尘效率为99%。</w:t>
            </w:r>
          </w:p>
          <w:p>
            <w:pPr>
              <w:widowControl/>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表4-2   蒸汽</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锅炉</w:t>
            </w:r>
            <w:r>
              <w:rPr>
                <w:rFonts w:hint="default" w:ascii="Times New Roman" w:hAnsi="Times New Roman" w:eastAsia="宋体" w:cs="Times New Roman"/>
                <w:b/>
                <w:bCs/>
                <w:color w:val="000000" w:themeColor="text1"/>
                <w:kern w:val="0"/>
                <w:sz w:val="24"/>
                <w14:textFill>
                  <w14:solidFill>
                    <w14:schemeClr w14:val="tx1"/>
                  </w14:solidFill>
                </w14:textFill>
              </w:rPr>
              <w:t>燃烧废气的产生及排放情况一览表</w:t>
            </w:r>
          </w:p>
          <w:tbl>
            <w:tblPr>
              <w:tblStyle w:val="33"/>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30"/>
              <w:gridCol w:w="623"/>
              <w:gridCol w:w="891"/>
              <w:gridCol w:w="727"/>
              <w:gridCol w:w="833"/>
              <w:gridCol w:w="1122"/>
              <w:gridCol w:w="651"/>
              <w:gridCol w:w="910"/>
              <w:gridCol w:w="784"/>
              <w:gridCol w:w="7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67" w:type="pct"/>
                  <w:vMerge w:val="restar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污染源及</w:t>
                  </w:r>
                </w:p>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污染因子</w:t>
                  </w:r>
                </w:p>
              </w:tc>
              <w:tc>
                <w:tcPr>
                  <w:tcW w:w="380" w:type="pct"/>
                  <w:vMerge w:val="restar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风量</w:t>
                  </w:r>
                </w:p>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/h</w:t>
                  </w:r>
                </w:p>
              </w:tc>
              <w:tc>
                <w:tcPr>
                  <w:tcW w:w="1494" w:type="pct"/>
                  <w:gridSpan w:val="3"/>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有组织废气产生情况</w:t>
                  </w:r>
                </w:p>
              </w:tc>
              <w:tc>
                <w:tcPr>
                  <w:tcW w:w="684" w:type="pct"/>
                  <w:vMerge w:val="restar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收集措施及收集效率</w:t>
                  </w:r>
                </w:p>
              </w:tc>
              <w:tc>
                <w:tcPr>
                  <w:tcW w:w="1430" w:type="pct"/>
                  <w:gridSpan w:val="3"/>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有组织废气排放情况</w:t>
                  </w:r>
                </w:p>
              </w:tc>
              <w:tc>
                <w:tcPr>
                  <w:tcW w:w="443" w:type="pct"/>
                  <w:vMerge w:val="restart"/>
                  <w:tcBorders>
                    <w:top w:val="single" w:color="auto" w:sz="6" w:space="0"/>
                    <w:left w:val="single" w:color="auto" w:sz="6" w:space="0"/>
                    <w:right w:val="single" w:color="auto" w:sz="6" w:space="0"/>
                  </w:tcBorders>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w:t>
                  </w:r>
                </w:p>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标准</w:t>
                  </w:r>
                </w:p>
                <w:p>
                  <w:pPr>
                    <w:pStyle w:val="2"/>
                    <w:jc w:val="center"/>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380"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543"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443"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产生速率kg/h</w:t>
                  </w:r>
                </w:p>
              </w:tc>
              <w:tc>
                <w:tcPr>
                  <w:tcW w:w="50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684"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39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排放量t/a</w:t>
                  </w:r>
                </w:p>
              </w:tc>
              <w:tc>
                <w:tcPr>
                  <w:tcW w:w="555"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排放速率kg/h</w:t>
                  </w:r>
                </w:p>
              </w:tc>
              <w:tc>
                <w:tcPr>
                  <w:tcW w:w="47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排放浓度mg/m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443" w:type="pct"/>
                  <w:vMerge w:val="continue"/>
                  <w:tcBorders>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38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1872</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.27</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15</w:t>
                  </w:r>
                </w:p>
              </w:tc>
              <w:tc>
                <w:tcPr>
                  <w:tcW w:w="50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w:t>
                  </w:r>
                  <w:r>
                    <w:rPr>
                      <w:rFonts w:hint="eastAsia" w:cs="Times New Roman"/>
                      <w:color w:val="000000" w:themeColor="text1"/>
                      <w:szCs w:val="21"/>
                      <w:lang w:val="en-US" w:eastAsia="zh-CN"/>
                      <w14:textFill>
                        <w14:solidFill>
                          <w14:schemeClr w14:val="tx1"/>
                        </w14:solidFill>
                      </w14:textFill>
                    </w:rPr>
                    <w:t>1</w:t>
                  </w:r>
                </w:p>
              </w:tc>
              <w:tc>
                <w:tcPr>
                  <w:tcW w:w="68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旋风除尘+布袋除尘组合</w:t>
                  </w:r>
                  <w:r>
                    <w:rPr>
                      <w:rFonts w:hint="eastAsia" w:ascii="Times New Roman" w:hAnsi="Times New Roman" w:eastAsia="宋体" w:cs="Times New Roman"/>
                      <w:color w:val="000000" w:themeColor="text1"/>
                      <w:lang w:val="en-US" w:eastAsia="zh-CN"/>
                      <w14:textFill>
                        <w14:solidFill>
                          <w14:schemeClr w14:val="tx1"/>
                        </w14:solidFill>
                      </w14:textFill>
                    </w:rPr>
                    <w:t>”除尘，除尘效率99</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27</w:t>
                  </w:r>
                </w:p>
              </w:tc>
              <w:tc>
                <w:tcPr>
                  <w:tcW w:w="55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15</w:t>
                  </w:r>
                </w:p>
              </w:tc>
              <w:tc>
                <w:tcPr>
                  <w:tcW w:w="47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8</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38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1872</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368</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204</w:t>
                  </w:r>
                </w:p>
              </w:tc>
              <w:tc>
                <w:tcPr>
                  <w:tcW w:w="50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109.</w:t>
                  </w:r>
                  <w:r>
                    <w:rPr>
                      <w:rFonts w:hint="eastAsia" w:cs="Times New Roman"/>
                      <w:color w:val="000000" w:themeColor="text1"/>
                      <w:szCs w:val="21"/>
                      <w:lang w:val="en-US" w:eastAsia="zh-CN"/>
                      <w14:textFill>
                        <w14:solidFill>
                          <w14:schemeClr w14:val="tx1"/>
                        </w14:solidFill>
                      </w14:textFill>
                    </w:rPr>
                    <w:t>2</w:t>
                  </w:r>
                </w:p>
              </w:tc>
              <w:tc>
                <w:tcPr>
                  <w:tcW w:w="68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368</w:t>
                  </w:r>
                </w:p>
              </w:tc>
              <w:tc>
                <w:tcPr>
                  <w:tcW w:w="55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204</w:t>
                  </w:r>
                </w:p>
              </w:tc>
              <w:tc>
                <w:tcPr>
                  <w:tcW w:w="47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109.</w:t>
                  </w:r>
                  <w:r>
                    <w:rPr>
                      <w:rFonts w:hint="eastAsia" w:cs="Times New Roman"/>
                      <w:color w:val="000000" w:themeColor="text1"/>
                      <w:szCs w:val="21"/>
                      <w:lang w:val="en-US" w:eastAsia="zh-CN"/>
                      <w14:textFill>
                        <w14:solidFill>
                          <w14:schemeClr w14:val="tx1"/>
                        </w14:solidFill>
                      </w14:textFill>
                    </w:rPr>
                    <w:t>2</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67" w:type="pct"/>
                  <w:tcBorders>
                    <w:top w:val="single" w:color="auto" w:sz="6" w:space="0"/>
                    <w:left w:val="single" w:color="auto" w:sz="6" w:space="0"/>
                    <w:bottom w:val="single" w:color="auto" w:sz="6" w:space="0"/>
                    <w:right w:val="single" w:color="auto" w:sz="6"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38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1872</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552</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307</w:t>
                  </w:r>
                </w:p>
              </w:tc>
              <w:tc>
                <w:tcPr>
                  <w:tcW w:w="50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163.</w:t>
                  </w:r>
                  <w:r>
                    <w:rPr>
                      <w:rFonts w:hint="eastAsia" w:cs="Times New Roman"/>
                      <w:color w:val="000000" w:themeColor="text1"/>
                      <w:szCs w:val="21"/>
                      <w:lang w:val="en-US" w:eastAsia="zh-CN"/>
                      <w14:textFill>
                        <w14:solidFill>
                          <w14:schemeClr w14:val="tx1"/>
                        </w14:solidFill>
                      </w14:textFill>
                    </w:rPr>
                    <w:t>8</w:t>
                  </w:r>
                </w:p>
              </w:tc>
              <w:tc>
                <w:tcPr>
                  <w:tcW w:w="684"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552</w:t>
                  </w:r>
                </w:p>
              </w:tc>
              <w:tc>
                <w:tcPr>
                  <w:tcW w:w="55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307</w:t>
                  </w:r>
                </w:p>
              </w:tc>
              <w:tc>
                <w:tcPr>
                  <w:tcW w:w="477"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163.</w:t>
                  </w:r>
                  <w:r>
                    <w:rPr>
                      <w:rFonts w:hint="eastAsia" w:cs="Times New Roman"/>
                      <w:color w:val="000000" w:themeColor="text1"/>
                      <w:szCs w:val="21"/>
                      <w:lang w:val="en-US" w:eastAsia="zh-CN"/>
                      <w14:textFill>
                        <w14:solidFill>
                          <w14:schemeClr w14:val="tx1"/>
                        </w14:solidFill>
                      </w14:textFill>
                    </w:rPr>
                    <w:t>8</w:t>
                  </w:r>
                </w:p>
              </w:tc>
              <w:tc>
                <w:tcPr>
                  <w:tcW w:w="4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5" w:hRule="atLeast"/>
              </w:trPr>
              <w:tc>
                <w:tcPr>
                  <w:tcW w:w="5000" w:type="pct"/>
                  <w:gridSpan w:val="10"/>
                  <w:tcBorders>
                    <w:top w:val="single" w:color="auto" w:sz="6" w:space="0"/>
                    <w:left w:val="single" w:color="auto" w:sz="6" w:space="0"/>
                    <w:bottom w:val="single" w:color="auto" w:sz="6" w:space="0"/>
                    <w:right w:val="single" w:color="auto" w:sz="6" w:space="0"/>
                  </w:tcBorders>
                  <w:vAlign w:val="center"/>
                </w:tcPr>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排气筒信息：编号：DA001；高度：</w:t>
                  </w:r>
                  <w:r>
                    <w:rPr>
                      <w:rFonts w:hint="eastAsia" w:cs="Times New Roman"/>
                      <w:color w:val="000000" w:themeColor="text1"/>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m；内径：</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00mm</w:t>
                  </w:r>
                </w:p>
              </w:tc>
            </w:tr>
          </w:tbl>
          <w:p>
            <w:pPr>
              <w:pStyle w:val="17"/>
              <w:tabs>
                <w:tab w:val="left" w:pos="1634"/>
              </w:tabs>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由上表可知</w:t>
            </w:r>
            <w:r>
              <w:rPr>
                <w:rFonts w:hint="default" w:ascii="Times New Roman" w:hAnsi="Times New Roman" w:eastAsia="宋体" w:cs="Times New Roman"/>
                <w:color w:val="000000" w:themeColor="text1"/>
                <w:sz w:val="24"/>
                <w14:textFill>
                  <w14:solidFill>
                    <w14:schemeClr w14:val="tx1"/>
                  </w14:solidFill>
                </w14:textFill>
              </w:rPr>
              <w:t>，锅炉</w:t>
            </w:r>
            <w:r>
              <w:rPr>
                <w:rFonts w:hint="default" w:ascii="Times New Roman" w:hAnsi="Times New Roman" w:eastAsia="宋体" w:cs="Times New Roman"/>
                <w:color w:val="000000" w:themeColor="text1"/>
                <w:sz w:val="24"/>
                <w:lang w:eastAsia="zh-CN"/>
                <w14:textFill>
                  <w14:solidFill>
                    <w14:schemeClr w14:val="tx1"/>
                  </w14:solidFill>
                </w14:textFill>
              </w:rPr>
              <w:t>烟气</w:t>
            </w:r>
            <w:r>
              <w:rPr>
                <w:rFonts w:hint="default" w:ascii="Times New Roman" w:hAnsi="Times New Roman" w:eastAsia="宋体" w:cs="Times New Roman"/>
                <w:color w:val="000000" w:themeColor="text1"/>
                <w:sz w:val="24"/>
                <w14:textFill>
                  <w14:solidFill>
                    <w14:schemeClr w14:val="tx1"/>
                  </w14:solidFill>
                </w14:textFill>
              </w:rPr>
              <w:t>经</w:t>
            </w:r>
            <w:r>
              <w:rPr>
                <w:rFonts w:hint="default" w:ascii="Times New Roman" w:hAnsi="Times New Roman" w:eastAsia="宋体" w:cs="Times New Roman"/>
                <w:color w:val="000000" w:themeColor="text1"/>
                <w:sz w:val="24"/>
                <w:lang w:eastAsia="zh-CN"/>
                <w14:textFill>
                  <w14:solidFill>
                    <w14:schemeClr w14:val="tx1"/>
                  </w14:solidFill>
                </w14:textFill>
              </w:rPr>
              <w:t>“旋风</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default" w:ascii="Times New Roman" w:hAnsi="Times New Roman" w:eastAsia="宋体" w:cs="Times New Roman"/>
                <w:color w:val="000000" w:themeColor="text1"/>
                <w:sz w:val="24"/>
                <w:lang w:eastAsia="zh-CN"/>
                <w14:textFill>
                  <w14:solidFill>
                    <w14:schemeClr w14:val="tx1"/>
                  </w14:solidFill>
                </w14:textFill>
              </w:rPr>
              <w:t>布袋除尘”</w:t>
            </w:r>
            <w:r>
              <w:rPr>
                <w:rFonts w:hint="default" w:ascii="Times New Roman" w:hAnsi="Times New Roman" w:eastAsia="宋体" w:cs="Times New Roman"/>
                <w:color w:val="000000" w:themeColor="text1"/>
                <w:sz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14:textFill>
                  <w14:solidFill>
                    <w14:schemeClr w14:val="tx1"/>
                  </w14:solidFill>
                </w14:textFill>
              </w:rPr>
              <w:t>后再经过</w:t>
            </w:r>
            <w:r>
              <w:rPr>
                <w:rFonts w:hint="eastAsia"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lang w:val="en-US" w:eastAsia="zh-CN"/>
                <w14:textFill>
                  <w14:solidFill>
                    <w14:schemeClr w14:val="tx1"/>
                  </w14:solidFill>
                </w14:textFill>
              </w:rPr>
              <w:t>m排气筒</w:t>
            </w:r>
            <w:r>
              <w:rPr>
                <w:rFonts w:hint="default" w:ascii="Times New Roman" w:hAnsi="Times New Roman" w:eastAsia="宋体" w:cs="Times New Roman"/>
                <w:snapToGrid w:val="0"/>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DA001）高空排入大气</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处理工艺满足《排污许可证申请与核发技术规范 锅炉》中废气处理工艺要求</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则排入大气的</w:t>
            </w:r>
            <w:r>
              <w:rPr>
                <w:rFonts w:hint="default" w:ascii="Times New Roman" w:hAnsi="Times New Roman" w:eastAsia="宋体" w:cs="Times New Roman"/>
                <w:color w:val="000000" w:themeColor="text1"/>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14:textFill>
                  <w14:solidFill>
                    <w14:schemeClr w14:val="tx1"/>
                  </w14:solidFill>
                </w14:textFill>
              </w:rPr>
              <w:t>二氧化硫和氮氧化物的浓度分别是：</w:t>
            </w:r>
            <w:r>
              <w:rPr>
                <w:rFonts w:hint="default" w:ascii="Times New Roman" w:hAnsi="Times New Roman" w:eastAsia="宋体" w:cs="Times New Roman"/>
                <w:color w:val="000000" w:themeColor="text1"/>
                <w:sz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109.</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和</w:t>
            </w:r>
            <w:r>
              <w:rPr>
                <w:rFonts w:hint="default" w:ascii="Times New Roman" w:hAnsi="Times New Roman" w:eastAsia="宋体" w:cs="Times New Roman"/>
                <w:color w:val="000000" w:themeColor="text1"/>
                <w:sz w:val="24"/>
                <w:lang w:val="en-US" w:eastAsia="zh-CN"/>
                <w14:textFill>
                  <w14:solidFill>
                    <w14:schemeClr w14:val="tx1"/>
                  </w14:solidFill>
                </w14:textFill>
              </w:rPr>
              <w:t>163.</w:t>
            </w:r>
            <w:r>
              <w:rPr>
                <w:rFonts w:hint="eastAsia"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均可达到《锅炉大气污染物排放标准》（GB13271-2014）表2中的燃煤锅炉（燃生物质锅炉参照燃煤锅炉排放限值）的排放限值标准，对周边环境空气无明显影响</w:t>
            </w:r>
            <w:r>
              <w:rPr>
                <w:rFonts w:hint="default" w:ascii="Times New Roman" w:hAnsi="Times New Roman" w:eastAsia="宋体" w:cs="Times New Roman"/>
                <w:color w:val="000000" w:themeColor="text1"/>
                <w:sz w:val="24"/>
                <w:lang w:eastAsia="zh-CN"/>
                <w14:textFill>
                  <w14:solidFill>
                    <w14:schemeClr w14:val="tx1"/>
                  </w14:solidFill>
                </w14:textFill>
              </w:rPr>
              <w:t>。</w:t>
            </w:r>
          </w:p>
          <w:p>
            <w:pPr>
              <w:numPr>
                <w:ilvl w:val="0"/>
                <w:numId w:val="0"/>
              </w:numPr>
              <w:spacing w:line="360" w:lineRule="auto"/>
              <w:ind w:firstLine="480" w:firstLineChars="200"/>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u w:val="none"/>
                <w14:textFill>
                  <w14:solidFill>
                    <w14:schemeClr w14:val="tx1"/>
                  </w14:solidFill>
                </w14:textFill>
              </w:rPr>
              <w:t>②</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淀粉开包</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和</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投料粉尘</w:t>
            </w:r>
          </w:p>
          <w:p>
            <w:pPr>
              <w:spacing w:line="360" w:lineRule="auto"/>
              <w:ind w:firstLine="480"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淀粉</w:t>
            </w:r>
            <w:r>
              <w:rPr>
                <w:rFonts w:hint="default" w:ascii="Times New Roman" w:hAnsi="Times New Roman" w:eastAsia="宋体" w:cs="Times New Roman"/>
                <w:color w:val="000000" w:themeColor="text1"/>
                <w:sz w:val="24"/>
                <w:u w:val="none"/>
                <w:lang w:eastAsia="zh-CN"/>
                <w14:textFill>
                  <w14:solidFill>
                    <w14:schemeClr w14:val="tx1"/>
                  </w14:solidFill>
                </w14:textFill>
              </w:rPr>
              <w:t>在开包、</w:t>
            </w:r>
            <w:r>
              <w:rPr>
                <w:rFonts w:hint="default" w:ascii="Times New Roman" w:hAnsi="Times New Roman" w:eastAsia="宋体" w:cs="Times New Roman"/>
                <w:color w:val="000000" w:themeColor="text1"/>
                <w:sz w:val="24"/>
                <w:u w:val="none"/>
                <w14:textFill>
                  <w14:solidFill>
                    <w14:schemeClr w14:val="tx1"/>
                  </w14:solidFill>
                </w14:textFill>
              </w:rPr>
              <w:t>投料工序会产生少量粉尘，</w:t>
            </w:r>
            <w:r>
              <w:rPr>
                <w:rFonts w:hint="default" w:ascii="Times New Roman" w:hAnsi="Times New Roman" w:eastAsia="宋体" w:cs="Times New Roman"/>
                <w:color w:val="000000" w:themeColor="text1"/>
                <w:kern w:val="0"/>
                <w:sz w:val="24"/>
                <w14:textFill>
                  <w14:solidFill>
                    <w14:schemeClr w14:val="tx1"/>
                  </w14:solidFill>
                </w14:textFill>
              </w:rPr>
              <w:t>类比同类行业</w:t>
            </w:r>
            <w:r>
              <w:rPr>
                <w:rFonts w:hint="default" w:ascii="Times New Roman" w:hAnsi="Times New Roman" w:eastAsia="宋体" w:cs="Times New Roman"/>
                <w:b w:val="0"/>
                <w:bCs w:val="0"/>
                <w:color w:val="000000" w:themeColor="text1"/>
                <w:kern w:val="0"/>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粉尘产生量约为淀粉原料量</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eastAsia" w:cs="Times New Roman"/>
                <w:color w:val="000000" w:themeColor="text1"/>
                <w:sz w:val="24"/>
                <w:u w:val="none"/>
                <w:lang w:val="en-US" w:eastAsia="zh-CN"/>
                <w14:textFill>
                  <w14:solidFill>
                    <w14:schemeClr w14:val="tx1"/>
                  </w14:solidFill>
                </w14:textFill>
              </w:rPr>
              <w:t>2150</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的1</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，则</w:t>
            </w:r>
            <w:r>
              <w:rPr>
                <w:rFonts w:hint="default" w:ascii="Times New Roman" w:hAnsi="Times New Roman" w:eastAsia="宋体" w:cs="Times New Roman"/>
                <w:color w:val="000000" w:themeColor="text1"/>
                <w:sz w:val="24"/>
                <w:u w:val="none"/>
                <w:lang w:eastAsia="zh-CN"/>
                <w14:textFill>
                  <w14:solidFill>
                    <w14:schemeClr w14:val="tx1"/>
                  </w14:solidFill>
                </w14:textFill>
              </w:rPr>
              <w:t>开包、</w:t>
            </w:r>
            <w:r>
              <w:rPr>
                <w:rFonts w:hint="default" w:ascii="Times New Roman" w:hAnsi="Times New Roman" w:eastAsia="宋体" w:cs="Times New Roman"/>
                <w:color w:val="000000" w:themeColor="text1"/>
                <w:sz w:val="24"/>
                <w:u w:val="none"/>
                <w14:textFill>
                  <w14:solidFill>
                    <w14:schemeClr w14:val="tx1"/>
                  </w14:solidFill>
                </w14:textFill>
              </w:rPr>
              <w:t>投料环节产生的粉尘量约为</w:t>
            </w:r>
            <w:r>
              <w:rPr>
                <w:rFonts w:hint="eastAsia" w:cs="Times New Roman"/>
                <w:color w:val="000000" w:themeColor="text1"/>
                <w:sz w:val="24"/>
                <w:u w:val="none"/>
                <w:lang w:val="en-US" w:eastAsia="zh-CN"/>
                <w14:textFill>
                  <w14:solidFill>
                    <w14:schemeClr w14:val="tx1"/>
                  </w14:solidFill>
                </w14:textFill>
              </w:rPr>
              <w:t>2.15</w:t>
            </w:r>
            <w:r>
              <w:rPr>
                <w:rFonts w:hint="default" w:ascii="Times New Roman" w:hAnsi="Times New Roman" w:eastAsia="宋体" w:cs="Times New Roman"/>
                <w:color w:val="000000" w:themeColor="text1"/>
                <w:sz w:val="24"/>
                <w:u w:val="none"/>
                <w14:textFill>
                  <w14:solidFill>
                    <w14:schemeClr w14:val="tx1"/>
                  </w14:solidFill>
                </w14:textFill>
              </w:rPr>
              <w:t>t/a</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eastAsia" w:cs="Times New Roman"/>
                <w:color w:val="000000" w:themeColor="text1"/>
                <w:sz w:val="24"/>
                <w:u w:val="none"/>
                <w:lang w:eastAsia="zh-CN"/>
                <w14:textFill>
                  <w14:solidFill>
                    <w14:schemeClr w14:val="tx1"/>
                  </w14:solidFill>
                </w14:textFill>
              </w:rPr>
              <w:t>通过</w:t>
            </w:r>
            <w:r>
              <w:rPr>
                <w:rFonts w:hint="default" w:ascii="Times New Roman" w:hAnsi="Times New Roman" w:eastAsia="宋体" w:cs="Times New Roman"/>
                <w:color w:val="000000" w:themeColor="text1"/>
                <w:sz w:val="24"/>
                <w:u w:val="none"/>
                <w:lang w:eastAsia="zh-CN"/>
                <w14:textFill>
                  <w14:solidFill>
                    <w14:schemeClr w14:val="tx1"/>
                  </w14:solidFill>
                </w14:textFill>
              </w:rPr>
              <w:t>采取加强车间通风措施减少无组织粉尘产生；</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淀粉开包</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和</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投料粉尘最后</w:t>
            </w:r>
            <w:r>
              <w:rPr>
                <w:rFonts w:hint="default" w:ascii="Times New Roman" w:hAnsi="Times New Roman" w:eastAsia="宋体" w:cs="Times New Roman"/>
                <w:color w:val="000000" w:themeColor="text1"/>
                <w:sz w:val="24"/>
                <w:u w:val="none"/>
                <w14:textFill>
                  <w14:solidFill>
                    <w14:schemeClr w14:val="tx1"/>
                  </w14:solidFill>
                </w14:textFill>
              </w:rPr>
              <w:t>通过车间扩散至外环境。</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③车间异味</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浸泡米产生的废水，磨浆产生的废渣容易发酵产生异味，即酸臭味，在一定程度上会影响到人们呼吸，但对人体是无害的。建议企业对浸泡大米的器具及处理浸泡大米废水的池子进行封盖处理，同时定时清洗粉碎机、搅拌机等设备，减少异味的产生量和散发到空气中的量，</w:t>
            </w:r>
            <w:r>
              <w:rPr>
                <w:rFonts w:hint="default" w:ascii="Times New Roman" w:hAnsi="Times New Roman" w:eastAsia="宋体" w:cs="Times New Roman"/>
                <w:color w:val="000000" w:themeColor="text1"/>
                <w:kern w:val="0"/>
                <w:sz w:val="24"/>
                <w14:textFill>
                  <w14:solidFill>
                    <w14:schemeClr w14:val="tx1"/>
                  </w14:solidFill>
                </w14:textFill>
              </w:rPr>
              <w:t>本环评对浸泡异味进行定性分析。</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④污水处理站恶臭</w:t>
            </w:r>
          </w:p>
          <w:p>
            <w:pPr>
              <w:adjustRightInd w:val="0"/>
              <w:snapToGrid w:val="0"/>
              <w:spacing w:line="360" w:lineRule="auto"/>
              <w:ind w:firstLine="480" w:firstLineChars="200"/>
              <w:rPr>
                <w:rFonts w:hint="eastAsia" w:eastAsia="宋体"/>
                <w:sz w:val="24"/>
                <w:lang w:eastAsia="zh-CN"/>
              </w:rPr>
            </w:pPr>
            <w:r>
              <w:rPr>
                <w:rFonts w:hint="default"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拟</w:t>
            </w:r>
            <w:r>
              <w:rPr>
                <w:rFonts w:hint="eastAsia" w:cs="Times New Roman"/>
                <w:color w:val="000000" w:themeColor="text1"/>
                <w:kern w:val="0"/>
                <w:sz w:val="24"/>
                <w:lang w:eastAsia="zh-CN"/>
                <w14:textFill>
                  <w14:solidFill>
                    <w14:schemeClr w14:val="tx1"/>
                  </w14:solidFill>
                </w14:textFill>
              </w:rPr>
              <w:t>建</w:t>
            </w:r>
            <w:r>
              <w:rPr>
                <w:rFonts w:hint="default" w:ascii="Times New Roman" w:hAnsi="Times New Roman" w:eastAsia="宋体" w:cs="Times New Roman"/>
                <w:color w:val="000000" w:themeColor="text1"/>
                <w:kern w:val="0"/>
                <w:sz w:val="24"/>
                <w14:textFill>
                  <w14:solidFill>
                    <w14:schemeClr w14:val="tx1"/>
                  </w14:solidFill>
                </w14:textFill>
              </w:rPr>
              <w:t>一个污水处理站，运营后厂内</w:t>
            </w:r>
            <w:r>
              <w:rPr>
                <w:rFonts w:hint="eastAsia" w:cs="Times New Roman"/>
                <w:color w:val="000000" w:themeColor="text1"/>
                <w:kern w:val="0"/>
                <w:sz w:val="24"/>
                <w:lang w:eastAsia="zh-CN"/>
                <w14:textFill>
                  <w14:solidFill>
                    <w14:schemeClr w14:val="tx1"/>
                  </w14:solidFill>
                </w14:textFill>
              </w:rPr>
              <w:t>生活污水和</w:t>
            </w:r>
            <w:r>
              <w:rPr>
                <w:rFonts w:hint="default" w:ascii="Times New Roman" w:hAnsi="Times New Roman" w:eastAsia="宋体" w:cs="Times New Roman"/>
                <w:color w:val="000000" w:themeColor="text1"/>
                <w:kern w:val="0"/>
                <w:sz w:val="24"/>
                <w14:textFill>
                  <w14:solidFill>
                    <w14:schemeClr w14:val="tx1"/>
                  </w14:solidFill>
                </w14:textFill>
              </w:rPr>
              <w:t>生产废水经收集后统一进入自建的污水处理站处理</w:t>
            </w:r>
            <w:r>
              <w:rPr>
                <w:rFonts w:hint="eastAsia" w:cs="Times New Roman"/>
                <w:color w:val="000000" w:themeColor="text1"/>
                <w:kern w:val="0"/>
                <w:sz w:val="24"/>
                <w:lang w:eastAsia="zh-CN"/>
                <w14:textFill>
                  <w14:solidFill>
                    <w14:schemeClr w14:val="tx1"/>
                  </w14:solidFill>
                </w14:textFill>
              </w:rPr>
              <w:t>达标</w:t>
            </w:r>
            <w:r>
              <w:rPr>
                <w:rFonts w:hint="eastAsia" w:cs="Times New Roman"/>
                <w:color w:val="000000" w:themeColor="text1"/>
                <w:kern w:val="0"/>
                <w:sz w:val="24"/>
                <w:lang w:val="en-US" w:eastAsia="zh-CN"/>
                <w14:textFill>
                  <w14:solidFill>
                    <w14:schemeClr w14:val="tx1"/>
                  </w14:solidFill>
                </w14:textFill>
              </w:rPr>
              <w:t>排入黄蜡河</w:t>
            </w:r>
            <w:r>
              <w:rPr>
                <w:rFonts w:hint="default" w:ascii="Times New Roman" w:hAnsi="Times New Roman" w:eastAsia="宋体" w:cs="Times New Roman"/>
                <w:color w:val="000000" w:themeColor="text1"/>
                <w:kern w:val="0"/>
                <w:sz w:val="24"/>
                <w14:textFill>
                  <w14:solidFill>
                    <w14:schemeClr w14:val="tx1"/>
                  </w14:solidFill>
                </w14:textFill>
              </w:rPr>
              <w:t>，污水处理站在运营时会产生少量恶臭气体，主要成分是氨和硫化氢。</w:t>
            </w:r>
            <w:r>
              <w:rPr>
                <w:rFonts w:hint="eastAsia" w:ascii="Times New Roman" w:hAnsi="Times New Roman" w:eastAsia="宋体" w:cs="Times New Roman"/>
                <w:color w:val="000000" w:themeColor="text1"/>
                <w:kern w:val="0"/>
                <w:sz w:val="24"/>
                <w14:textFill>
                  <w14:solidFill>
                    <w14:schemeClr w14:val="tx1"/>
                  </w14:solidFill>
                </w14:textFill>
              </w:rPr>
              <w:t>一些菌种的有机质分解产物可能会成为另一些菌种所需吸收的营养，这会使有机质被硫酸盐还原</w:t>
            </w:r>
            <w:r>
              <w:rPr>
                <w:rFonts w:hint="eastAsia" w:cs="Times New Roman"/>
                <w:color w:val="000000" w:themeColor="text1"/>
                <w:kern w:val="0"/>
                <w:sz w:val="24"/>
                <w:lang w:val="en-US" w:eastAsia="zh-CN"/>
                <w14:textFill>
                  <w14:solidFill>
                    <w14:schemeClr w14:val="tx1"/>
                  </w14:solidFill>
                </w14:textFill>
              </w:rPr>
              <w:t>菌</w:t>
            </w:r>
            <w:r>
              <w:rPr>
                <w:rFonts w:hint="eastAsia" w:ascii="Times New Roman" w:hAnsi="Times New Roman" w:eastAsia="宋体" w:cs="Times New Roman"/>
                <w:color w:val="000000" w:themeColor="text1"/>
                <w:kern w:val="0"/>
                <w:sz w:val="24"/>
                <w14:textFill>
                  <w14:solidFill>
                    <w14:schemeClr w14:val="tx1"/>
                  </w14:solidFill>
                </w14:textFill>
              </w:rPr>
              <w:t>吸收转化效率提高，从而产生大量的硫化氢</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腐败作用是在含硫有机质形成之后，当同化作用的环境发生变化，发生含硫有机质的腐败分解，从而释放出硫化氢</w:t>
            </w:r>
            <w:r>
              <w:rPr>
                <w:rFonts w:hint="eastAsia" w:cs="Times New Roman"/>
                <w:color w:val="000000" w:themeColor="text1"/>
                <w:kern w:val="0"/>
                <w:sz w:val="24"/>
                <w:lang w:eastAsia="zh-CN"/>
                <w14:textFill>
                  <w14:solidFill>
                    <w14:schemeClr w14:val="tx1"/>
                  </w14:solidFill>
                </w14:textFill>
              </w:rPr>
              <w:t>。</w:t>
            </w:r>
            <w:r>
              <w:rPr>
                <w:rFonts w:ascii="Arial" w:hAnsi="Arial" w:eastAsia="宋体" w:cs="Arial"/>
                <w:i w:val="0"/>
                <w:iCs w:val="0"/>
                <w:caps w:val="0"/>
                <w:color w:val="333333"/>
                <w:spacing w:val="0"/>
                <w:sz w:val="24"/>
                <w:szCs w:val="24"/>
                <w:shd w:val="clear" w:fill="FFFFFF"/>
              </w:rPr>
              <w:t>在污水处理过程中，氨气主要来自于废水中的氨氮；同时，在处理过程中还可能伴随着微生物代谢产生的氨气。当污水中含有氨氮时，处理过程中的一些工艺会转化氨氮为氨气释放到空气中</w:t>
            </w:r>
            <w:r>
              <w:rPr>
                <w:rFonts w:hint="eastAsia" w:ascii="Arial" w:hAnsi="Arial" w:eastAsia="宋体" w:cs="Arial"/>
                <w:i w:val="0"/>
                <w:iCs w:val="0"/>
                <w:caps w:val="0"/>
                <w:color w:val="333333"/>
                <w:spacing w:val="0"/>
                <w:sz w:val="24"/>
                <w:szCs w:val="24"/>
                <w:shd w:val="clear" w:fill="FFFFFF"/>
                <w:lang w:eastAsia="zh-CN"/>
              </w:rPr>
              <w:t>。</w:t>
            </w:r>
            <w:r>
              <w:rPr>
                <w:rFonts w:hint="default" w:ascii="Times New Roman" w:hAnsi="Times New Roman" w:eastAsia="宋体" w:cs="Times New Roman"/>
                <w:color w:val="000000" w:themeColor="text1"/>
                <w:kern w:val="0"/>
                <w:sz w:val="24"/>
                <w14:textFill>
                  <w14:solidFill>
                    <w14:schemeClr w14:val="tx1"/>
                  </w14:solidFill>
                </w14:textFill>
              </w:rPr>
              <w:t>产生恶臭的主要部位是生物接触氧化池，因本项目污水处理站等为封闭污水处理站，</w:t>
            </w:r>
            <w:r>
              <w:rPr>
                <w:rFonts w:hint="default" w:ascii="Times New Roman" w:hAnsi="Times New Roman" w:eastAsia="宋体" w:cs="Times New Roman"/>
                <w:color w:val="000000" w:themeColor="text1"/>
                <w:sz w:val="24"/>
                <w14:textFill>
                  <w14:solidFill>
                    <w14:schemeClr w14:val="tx1"/>
                  </w14:solidFill>
                </w14:textFill>
              </w:rPr>
              <w:t>参考美国EPA对污水处理厂恶臭污染物产生情况的研究，</w:t>
            </w:r>
            <w:r>
              <w:rPr>
                <w:rFonts w:hint="default" w:ascii="Times New Roman" w:hAnsi="Times New Roman" w:eastAsia="宋体" w:cs="Times New Roman"/>
                <w:color w:val="000000" w:themeColor="text1"/>
                <w:sz w:val="24"/>
                <w:highlight w:val="none"/>
                <w14:textFill>
                  <w14:solidFill>
                    <w14:schemeClr w14:val="tx1"/>
                  </w14:solidFill>
                </w14:textFill>
              </w:rPr>
              <w:t>每去除1gBOD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可产生0.00012gH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S和0.0031gNH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根据计算</w:t>
            </w:r>
            <w:r>
              <w:rPr>
                <w:rFonts w:hint="default" w:ascii="Times New Roman" w:hAnsi="Times New Roman" w:eastAsia="宋体" w:cs="Times New Roman"/>
                <w:color w:val="000000" w:themeColor="text1"/>
                <w:sz w:val="24"/>
                <w:highlight w:val="none"/>
                <w14:textFill>
                  <w14:solidFill>
                    <w14:schemeClr w14:val="tx1"/>
                  </w14:solidFill>
                </w14:textFill>
              </w:rPr>
              <w:t>本项目BOD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去除量约为</w:t>
            </w:r>
            <w:r>
              <w:rPr>
                <w:rFonts w:hint="eastAsia" w:cs="Times New Roman"/>
                <w:color w:val="000000" w:themeColor="text1"/>
                <w:sz w:val="24"/>
                <w:highlight w:val="none"/>
                <w:lang w:val="en-US" w:eastAsia="zh-CN"/>
                <w14:textFill>
                  <w14:solidFill>
                    <w14:schemeClr w14:val="tx1"/>
                  </w14:solidFill>
                </w14:textFill>
              </w:rPr>
              <w:t>5.618</w:t>
            </w:r>
            <w:r>
              <w:rPr>
                <w:rFonts w:hint="default" w:ascii="Times New Roman" w:hAnsi="Times New Roman" w:eastAsia="宋体" w:cs="Times New Roman"/>
                <w:color w:val="000000" w:themeColor="text1"/>
                <w:sz w:val="24"/>
                <w:highlight w:val="none"/>
                <w14:textFill>
                  <w14:solidFill>
                    <w14:schemeClr w14:val="tx1"/>
                  </w14:solidFill>
                </w14:textFill>
              </w:rPr>
              <w:t>t/a，则污染物H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S和NH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的产生量分别为：</w:t>
            </w:r>
            <w:r>
              <w:rPr>
                <w:rFonts w:hint="eastAsia" w:cs="Times New Roman"/>
                <w:color w:val="000000" w:themeColor="text1"/>
                <w:sz w:val="24"/>
                <w:highlight w:val="none"/>
                <w:lang w:val="en-US" w:eastAsia="zh-CN"/>
                <w14:textFill>
                  <w14:solidFill>
                    <w14:schemeClr w14:val="tx1"/>
                  </w14:solidFill>
                </w14:textFill>
              </w:rPr>
              <w:t>6.742</w:t>
            </w:r>
            <w:r>
              <w:rPr>
                <w:rFonts w:hint="default" w:ascii="Times New Roman" w:hAnsi="Times New Roman" w:eastAsia="宋体" w:cs="Times New Roman"/>
                <w:color w:val="000000" w:themeColor="text1"/>
                <w:sz w:val="24"/>
                <w:highlight w:val="none"/>
                <w14:textFill>
                  <w14:solidFill>
                    <w14:schemeClr w14:val="tx1"/>
                  </w14:solidFill>
                </w14:textFill>
              </w:rPr>
              <w:t>kg/a、</w:t>
            </w:r>
            <w:r>
              <w:rPr>
                <w:rFonts w:hint="eastAsia" w:cs="Times New Roman"/>
                <w:color w:val="000000" w:themeColor="text1"/>
                <w:sz w:val="24"/>
                <w:highlight w:val="none"/>
                <w:lang w:val="en-US" w:eastAsia="zh-CN"/>
                <w14:textFill>
                  <w14:solidFill>
                    <w14:schemeClr w14:val="tx1"/>
                  </w14:solidFill>
                </w14:textFill>
              </w:rPr>
              <w:t>174.16</w:t>
            </w:r>
            <w:r>
              <w:rPr>
                <w:rFonts w:hint="default" w:ascii="Times New Roman" w:hAnsi="Times New Roman" w:eastAsia="宋体" w:cs="Times New Roman"/>
                <w:color w:val="000000" w:themeColor="text1"/>
                <w:sz w:val="24"/>
                <w:highlight w:val="none"/>
                <w14:textFill>
                  <w14:solidFill>
                    <w14:schemeClr w14:val="tx1"/>
                  </w14:solidFill>
                </w14:textFill>
              </w:rPr>
              <w:t>kg/a</w:t>
            </w:r>
            <w:r>
              <w:rPr>
                <w:rStyle w:val="94"/>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恶臭气体无组织排放</w:t>
            </w:r>
            <w:r>
              <w:rPr>
                <w:rFonts w:hint="default" w:ascii="Times New Roman" w:hAnsi="Times New Roman" w:eastAsia="宋体" w:cs="Times New Roman"/>
                <w:color w:val="000000" w:themeColor="text1"/>
                <w:sz w:val="24"/>
                <w:highlight w:val="none"/>
                <w14:textFill>
                  <w14:solidFill>
                    <w14:schemeClr w14:val="tx1"/>
                  </w14:solidFill>
                </w14:textFill>
              </w:rPr>
              <w:t>。污水处理系统的工作时间以</w:t>
            </w:r>
            <w:r>
              <w:rPr>
                <w:rFonts w:hint="eastAsia" w:cs="Times New Roman"/>
                <w:color w:val="000000" w:themeColor="text1"/>
                <w:sz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highlight w:val="none"/>
                <w14:textFill>
                  <w14:solidFill>
                    <w14:schemeClr w14:val="tx1"/>
                  </w14:solidFill>
                </w14:textFill>
              </w:rPr>
              <w:t>h/d计，项目全年运行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highlight w:val="none"/>
                <w14:textFill>
                  <w14:solidFill>
                    <w14:schemeClr w14:val="tx1"/>
                  </w14:solidFill>
                </w14:textFill>
              </w:rPr>
              <w:t>天，年运行</w:t>
            </w:r>
            <w:r>
              <w:rPr>
                <w:rFonts w:hint="eastAsia" w:cs="Times New Roman"/>
                <w:color w:val="000000" w:themeColor="text1"/>
                <w:sz w:val="24"/>
                <w:highlight w:val="none"/>
                <w:lang w:val="en-US" w:eastAsia="zh-CN"/>
                <w14:textFill>
                  <w14:solidFill>
                    <w14:schemeClr w14:val="tx1"/>
                  </w14:solidFill>
                </w14:textFill>
              </w:rPr>
              <w:t>7200</w:t>
            </w:r>
            <w:r>
              <w:rPr>
                <w:rFonts w:hint="default" w:ascii="Times New Roman" w:hAnsi="Times New Roman" w:eastAsia="宋体" w:cs="Times New Roman"/>
                <w:color w:val="000000" w:themeColor="text1"/>
                <w:sz w:val="24"/>
                <w:highlight w:val="none"/>
                <w14:textFill>
                  <w14:solidFill>
                    <w14:schemeClr w14:val="tx1"/>
                  </w14:solidFill>
                </w14:textFill>
              </w:rPr>
              <w:t>h，则H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S和NH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的排放速率为0.000</w:t>
            </w:r>
            <w:r>
              <w:rPr>
                <w:rFonts w:hint="eastAsia"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kg/h，0.0</w:t>
            </w:r>
            <w:r>
              <w:rPr>
                <w:rFonts w:hint="eastAsia" w:cs="Times New Roman"/>
                <w:color w:val="000000" w:themeColor="text1"/>
                <w:sz w:val="24"/>
                <w:highlight w:val="none"/>
                <w:lang w:val="en-US" w:eastAsia="zh-CN"/>
                <w14:textFill>
                  <w14:solidFill>
                    <w14:schemeClr w14:val="tx1"/>
                  </w14:solidFill>
                </w14:textFill>
              </w:rPr>
              <w:t>242</w:t>
            </w:r>
            <w:r>
              <w:rPr>
                <w:rFonts w:hint="default" w:ascii="Times New Roman" w:hAnsi="Times New Roman" w:eastAsia="宋体" w:cs="Times New Roman"/>
                <w:color w:val="000000" w:themeColor="text1"/>
                <w:sz w:val="24"/>
                <w:highlight w:val="none"/>
                <w14:textFill>
                  <w14:solidFill>
                    <w14:schemeClr w14:val="tx1"/>
                  </w14:solidFill>
                </w14:textFill>
              </w:rPr>
              <w:t>kg/h</w:t>
            </w:r>
            <w:r>
              <w:rPr>
                <w:rFonts w:hint="default" w:ascii="Times New Roman" w:hAnsi="Times New Roman" w:eastAsia="宋体" w:cs="Times New Roman"/>
                <w:color w:val="000000" w:themeColor="text1"/>
                <w:sz w:val="24"/>
                <w14:textFill>
                  <w14:solidFill>
                    <w14:schemeClr w14:val="tx1"/>
                  </w14:solidFill>
                </w14:textFill>
              </w:rPr>
              <w:t>，</w:t>
            </w:r>
            <w:r>
              <w:rPr>
                <w:rFonts w:hint="eastAsia"/>
                <w:sz w:val="24"/>
              </w:rPr>
              <w:t>项目污水处理站废气无组织排放，定期对污水处理站及周边喷洒除臭剂，加强管理，可有效防止恶臭气体逸散，采取措施后厂界恶臭污染物满足</w:t>
            </w:r>
            <w:r>
              <w:rPr>
                <w:rFonts w:hint="eastAsia"/>
                <w:sz w:val="24"/>
                <w:highlight w:val="none"/>
              </w:rPr>
              <w:t>《恶臭污染物排放标准》（GB14554-93）</w:t>
            </w:r>
            <w:r>
              <w:rPr>
                <w:rFonts w:hint="eastAsia"/>
                <w:sz w:val="24"/>
              </w:rPr>
              <w:t>表1中二级标准</w:t>
            </w:r>
            <w:r>
              <w:rPr>
                <w:rFonts w:hint="eastAsia"/>
                <w:sz w:val="24"/>
                <w:lang w:eastAsia="zh-CN"/>
              </w:rPr>
              <w:t>。</w:t>
            </w:r>
          </w:p>
          <w:p>
            <w:pPr>
              <w:pStyle w:val="6"/>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⑤食堂油烟废气</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cs="Times New Roman"/>
                <w:color w:val="auto"/>
                <w:sz w:val="24"/>
                <w:lang w:val="en-US" w:eastAsia="zh-CN"/>
              </w:rPr>
              <w:t>本项目劳动定员</w:t>
            </w:r>
            <w:r>
              <w:rPr>
                <w:rFonts w:hint="eastAsia" w:ascii="Times New Roman" w:hAnsi="Times New Roman" w:cs="Times New Roman"/>
                <w:color w:val="auto"/>
                <w:sz w:val="24"/>
                <w:lang w:val="en-US" w:eastAsia="zh-CN"/>
              </w:rPr>
              <w:t>120</w:t>
            </w:r>
            <w:r>
              <w:rPr>
                <w:rFonts w:hint="default" w:ascii="Times New Roman" w:hAnsi="Times New Roman" w:cs="Times New Roman"/>
                <w:color w:val="auto"/>
                <w:sz w:val="24"/>
                <w:lang w:val="en-US" w:eastAsia="zh-CN"/>
              </w:rPr>
              <w:t>人，按人均每餐耗油量为30g计，</w:t>
            </w:r>
            <w:r>
              <w:rPr>
                <w:rFonts w:hint="eastAsia" w:ascii="Times New Roman" w:hAnsi="Times New Roman" w:cs="Times New Roman"/>
                <w:color w:val="auto"/>
                <w:sz w:val="24"/>
                <w:lang w:val="en-US" w:eastAsia="zh-CN"/>
              </w:rPr>
              <w:t>每日三餐，</w:t>
            </w:r>
            <w:r>
              <w:rPr>
                <w:rFonts w:hint="default" w:ascii="Times New Roman" w:hAnsi="Times New Roman" w:cs="Times New Roman"/>
                <w:color w:val="auto"/>
                <w:sz w:val="24"/>
                <w:lang w:val="en-US" w:eastAsia="zh-CN"/>
              </w:rPr>
              <w:t>则本项目食用油耗量为</w:t>
            </w:r>
            <w:r>
              <w:rPr>
                <w:rFonts w:hint="eastAsia" w:ascii="Times New Roman" w:hAnsi="Times New Roman" w:cs="Times New Roman"/>
                <w:color w:val="auto"/>
                <w:sz w:val="24"/>
                <w:lang w:val="en-US" w:eastAsia="zh-CN"/>
              </w:rPr>
              <w:t>10.8</w:t>
            </w:r>
            <w:r>
              <w:rPr>
                <w:rFonts w:hint="default" w:ascii="Times New Roman" w:hAnsi="Times New Roman" w:cs="Times New Roman"/>
                <w:color w:val="auto"/>
                <w:sz w:val="24"/>
                <w:lang w:val="en-US" w:eastAsia="zh-CN"/>
              </w:rPr>
              <w:t>kg/d（</w:t>
            </w:r>
            <w:r>
              <w:rPr>
                <w:rFonts w:hint="eastAsia" w:ascii="Times New Roman" w:hAnsi="Times New Roman" w:cs="Times New Roman"/>
                <w:color w:val="auto"/>
                <w:sz w:val="24"/>
                <w:lang w:val="en-US" w:eastAsia="zh-CN"/>
              </w:rPr>
              <w:t>3.24</w:t>
            </w:r>
            <w:r>
              <w:rPr>
                <w:rFonts w:hint="default" w:ascii="Times New Roman" w:hAnsi="Times New Roman" w:cs="Times New Roman"/>
                <w:color w:val="auto"/>
                <w:sz w:val="24"/>
                <w:lang w:val="en-US" w:eastAsia="zh-CN"/>
              </w:rPr>
              <w:t>t/a）。油烟排放系数一般为2%</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4%，本项目取3%，则油烟产生量为0.</w:t>
            </w:r>
            <w:r>
              <w:rPr>
                <w:rFonts w:hint="eastAsia" w:ascii="Times New Roman" w:hAnsi="Times New Roman" w:cs="Times New Roman"/>
                <w:color w:val="auto"/>
                <w:sz w:val="24"/>
                <w:lang w:val="en-US" w:eastAsia="zh-CN"/>
              </w:rPr>
              <w:t>0972</w:t>
            </w:r>
            <w:r>
              <w:rPr>
                <w:rFonts w:hint="default" w:ascii="Times New Roman" w:hAnsi="Times New Roman" w:cs="Times New Roman"/>
                <w:color w:val="auto"/>
                <w:sz w:val="24"/>
                <w:lang w:val="en-US" w:eastAsia="zh-CN"/>
              </w:rPr>
              <w:t>t/a。</w:t>
            </w:r>
            <w:r>
              <w:rPr>
                <w:rFonts w:hint="default" w:ascii="Times New Roman" w:hAnsi="Times New Roman" w:eastAsia="宋体" w:cs="Times New Roman"/>
                <w:color w:val="auto"/>
                <w:sz w:val="24"/>
                <w:lang w:val="en-US" w:eastAsia="zh-CN"/>
              </w:rPr>
              <w:t>项目设</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个基准灶头，单灶风量</w:t>
            </w:r>
            <w:r>
              <w:rPr>
                <w:rFonts w:hint="eastAsia" w:ascii="Times New Roman" w:hAnsi="Times New Roman" w:eastAsia="宋体" w:cs="Times New Roman"/>
                <w:color w:val="auto"/>
                <w:sz w:val="24"/>
                <w:lang w:val="en-US" w:eastAsia="zh-CN"/>
              </w:rPr>
              <w:t>3000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/h，按日均作业</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小时计，则年排风总量为</w:t>
            </w:r>
            <w:r>
              <w:rPr>
                <w:rFonts w:hint="eastAsia" w:ascii="Times New Roman" w:hAnsi="Times New Roman" w:eastAsia="宋体" w:cs="Times New Roman"/>
                <w:color w:val="auto"/>
                <w:sz w:val="24"/>
                <w:lang w:val="en-US" w:eastAsia="zh-CN"/>
              </w:rPr>
              <w:t>2700</w:t>
            </w:r>
            <w:r>
              <w:rPr>
                <w:rFonts w:hint="default" w:ascii="Times New Roman" w:hAnsi="Times New Roman" w:eastAsia="宋体" w:cs="Times New Roman"/>
                <w:color w:val="auto"/>
                <w:sz w:val="24"/>
                <w:lang w:val="en-US" w:eastAsia="zh-CN"/>
              </w:rPr>
              <w:t>万m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/a，油烟产生浓度约</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lang w:val="en-US" w:eastAsia="zh-CN"/>
              </w:rPr>
              <w:t>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。参考《新型静电油烟净化设备的特点及应用》（黄付平、覃理嘉等），在额定风量下静电油烟净化器对油烟的净化效率达89.4</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，本评价按89%计，油烟净化器处理后引至楼顶排放，排放量为</w:t>
            </w:r>
            <w:r>
              <w:rPr>
                <w:rFonts w:hint="eastAsia" w:ascii="Times New Roman" w:hAnsi="Times New Roman" w:eastAsia="宋体" w:cs="Times New Roman"/>
                <w:color w:val="auto"/>
                <w:sz w:val="24"/>
                <w:lang w:val="en-US" w:eastAsia="zh-CN"/>
              </w:rPr>
              <w:t>0.011</w:t>
            </w:r>
            <w:r>
              <w:rPr>
                <w:rFonts w:hint="default" w:ascii="Times New Roman" w:hAnsi="Times New Roman" w:eastAsia="宋体" w:cs="Times New Roman"/>
                <w:color w:val="auto"/>
                <w:sz w:val="24"/>
                <w:lang w:val="en-US" w:eastAsia="zh-CN"/>
              </w:rPr>
              <w:t>t/a；排放速率：0.</w:t>
            </w:r>
            <w:r>
              <w:rPr>
                <w:rFonts w:hint="eastAsia" w:ascii="Times New Roman" w:hAnsi="Times New Roman" w:eastAsia="宋体" w:cs="Times New Roman"/>
                <w:color w:val="auto"/>
                <w:sz w:val="24"/>
                <w:lang w:val="en-US" w:eastAsia="zh-CN"/>
              </w:rPr>
              <w:t>006</w:t>
            </w:r>
            <w:r>
              <w:rPr>
                <w:rFonts w:hint="default" w:ascii="Times New Roman" w:hAnsi="Times New Roman" w:eastAsia="宋体" w:cs="Times New Roman"/>
                <w:color w:val="auto"/>
                <w:sz w:val="24"/>
                <w:lang w:val="en-US" w:eastAsia="zh-CN"/>
              </w:rPr>
              <w:t>kg/h；排放浓度：</w:t>
            </w:r>
            <w:r>
              <w:rPr>
                <w:rFonts w:hint="eastAsia" w:ascii="Times New Roman" w:hAnsi="Times New Roman" w:eastAsia="宋体" w:cs="Times New Roman"/>
                <w:color w:val="auto"/>
                <w:sz w:val="24"/>
                <w:lang w:val="en-US" w:eastAsia="zh-CN"/>
              </w:rPr>
              <w:t>0.407</w:t>
            </w:r>
            <w:r>
              <w:rPr>
                <w:rFonts w:hint="default" w:ascii="Times New Roman" w:hAnsi="Times New Roman" w:eastAsia="宋体" w:cs="Times New Roman"/>
                <w:color w:val="auto"/>
                <w:sz w:val="24"/>
                <w:lang w:val="en-US" w:eastAsia="zh-CN"/>
              </w:rPr>
              <w:t>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。低于《饮食业油烟排放标准（试行）》（GB18483-2001）的油烟最高允许排放浓度2.0mg/m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的标准限值。</w:t>
            </w:r>
          </w:p>
          <w:p>
            <w:pPr>
              <w:spacing w:line="360" w:lineRule="auto"/>
              <w:ind w:firstLine="482" w:firstLineChars="200"/>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废气治理措施技术可行性及废气达标可行性分析</w:t>
            </w:r>
          </w:p>
          <w:p>
            <w:pPr>
              <w:spacing w:line="360" w:lineRule="auto"/>
              <w:ind w:firstLine="480" w:firstLineChars="20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①燃烧废气：本项目燃料在燃烧过程会产生一定量的烟气，产生烟气的主要污染因子为SO</w:t>
            </w:r>
            <w:r>
              <w:rPr>
                <w:rFonts w:hint="default" w:ascii="Times New Roman" w:hAnsi="Times New Roman" w:eastAsia="宋体" w:cs="Times New Roman"/>
                <w:color w:val="000000" w:themeColor="text1"/>
                <w:sz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u w:val="none"/>
                <w14:textFill>
                  <w14:solidFill>
                    <w14:schemeClr w14:val="tx1"/>
                  </w14:solidFill>
                </w14:textFill>
              </w:rPr>
              <w:t>、NO</w:t>
            </w:r>
            <w:r>
              <w:rPr>
                <w:rFonts w:hint="default" w:ascii="Times New Roman" w:hAnsi="Times New Roman" w:eastAsia="宋体" w:cs="Times New Roman"/>
                <w:color w:val="000000" w:themeColor="text1"/>
                <w:sz w:val="24"/>
                <w:u w:val="none"/>
                <w:vertAlign w:val="subscript"/>
                <w14:textFill>
                  <w14:solidFill>
                    <w14:schemeClr w14:val="tx1"/>
                  </w14:solidFill>
                </w14:textFill>
              </w:rPr>
              <w:t>X</w:t>
            </w:r>
            <w:r>
              <w:rPr>
                <w:rFonts w:hint="default" w:ascii="Times New Roman" w:hAnsi="Times New Roman" w:eastAsia="宋体" w:cs="Times New Roman"/>
                <w:color w:val="000000" w:themeColor="text1"/>
                <w:sz w:val="24"/>
                <w:u w:val="none"/>
                <w14:textFill>
                  <w14:solidFill>
                    <w14:schemeClr w14:val="tx1"/>
                  </w14:solidFill>
                </w14:textFill>
              </w:rPr>
              <w:t>及</w:t>
            </w:r>
            <w:r>
              <w:rPr>
                <w:rFonts w:hint="default" w:ascii="Times New Roman" w:hAnsi="Times New Roman" w:eastAsia="宋体" w:cs="Times New Roman"/>
                <w:color w:val="000000" w:themeColor="text1"/>
                <w:sz w:val="24"/>
                <w:u w:val="none"/>
                <w:lang w:eastAsia="zh-CN"/>
                <w14:textFill>
                  <w14:solidFill>
                    <w14:schemeClr w14:val="tx1"/>
                  </w14:solidFill>
                </w14:textFill>
              </w:rPr>
              <w:t>颗粒物</w:t>
            </w:r>
            <w:r>
              <w:rPr>
                <w:rFonts w:hint="default" w:ascii="Times New Roman" w:hAnsi="Times New Roman" w:eastAsia="宋体" w:cs="Times New Roman"/>
                <w:color w:val="000000" w:themeColor="text1"/>
                <w:sz w:val="24"/>
                <w:u w:val="none"/>
                <w14:textFill>
                  <w14:solidFill>
                    <w14:schemeClr w14:val="tx1"/>
                  </w14:solidFill>
                </w14:textFill>
              </w:rPr>
              <w:t>。根据建设单位提供资料可知，蒸汽</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u w:val="none"/>
                <w14:textFill>
                  <w14:solidFill>
                    <w14:schemeClr w14:val="tx1"/>
                  </w14:solidFill>
                </w14:textFill>
              </w:rPr>
              <w:t>每天运行</w:t>
            </w:r>
            <w:r>
              <w:rPr>
                <w:rFonts w:hint="eastAsia" w:cs="Times New Roman"/>
                <w:color w:val="000000" w:themeColor="text1"/>
                <w:sz w:val="24"/>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u w:val="none"/>
                <w14:textFill>
                  <w14:solidFill>
                    <w14:schemeClr w14:val="tx1"/>
                  </w14:solidFill>
                </w14:textFill>
              </w:rPr>
              <w:t>小时，年运行</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u w:val="none"/>
                <w14:textFill>
                  <w14:solidFill>
                    <w14:schemeClr w14:val="tx1"/>
                  </w14:solidFill>
                </w14:textFill>
              </w:rPr>
              <w:t>天，燃料用量约</w:t>
            </w:r>
            <w:r>
              <w:rPr>
                <w:rFonts w:hint="eastAsia" w:cs="Times New Roman"/>
                <w:color w:val="000000" w:themeColor="text1"/>
                <w:sz w:val="24"/>
                <w:u w:val="none"/>
                <w:lang w:val="en-US" w:eastAsia="zh-CN"/>
                <w14:textFill>
                  <w14:solidFill>
                    <w14:schemeClr w14:val="tx1"/>
                  </w14:solidFill>
                </w14:textFill>
              </w:rPr>
              <w:t>540</w:t>
            </w:r>
            <w:r>
              <w:rPr>
                <w:rFonts w:hint="default" w:ascii="Times New Roman" w:hAnsi="Times New Roman" w:eastAsia="宋体" w:cs="Times New Roman"/>
                <w:color w:val="000000" w:themeColor="text1"/>
                <w:sz w:val="24"/>
                <w:u w:val="none"/>
                <w14:textFill>
                  <w14:solidFill>
                    <w14:schemeClr w14:val="tx1"/>
                  </w14:solidFill>
                </w14:textFill>
              </w:rPr>
              <w:t>t/a。燃料采用成型生物质颗粒。项目燃烧废气集中收集引至</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旋风除尘+布袋除尘”</w:t>
            </w:r>
            <w:r>
              <w:rPr>
                <w:rFonts w:hint="default" w:ascii="Times New Roman" w:hAnsi="Times New Roman" w:eastAsia="宋体" w:cs="Times New Roman"/>
                <w:color w:val="000000" w:themeColor="text1"/>
                <w:sz w:val="24"/>
                <w:u w:val="none"/>
                <w14:textFill>
                  <w14:solidFill>
                    <w14:schemeClr w14:val="tx1"/>
                  </w14:solidFill>
                </w14:textFill>
              </w:rPr>
              <w:t>设施处理，再经</w:t>
            </w:r>
            <w:r>
              <w:rPr>
                <w:rFonts w:hint="eastAsia" w:cs="Times New Roman"/>
                <w:color w:val="000000" w:themeColor="text1"/>
                <w:sz w:val="24"/>
                <w:u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u w:val="none"/>
                <w14:textFill>
                  <w14:solidFill>
                    <w14:schemeClr w14:val="tx1"/>
                  </w14:solidFill>
                </w14:textFill>
              </w:rPr>
              <w:t>米（</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24"/>
                <w:u w:val="none"/>
                <w14:textFill>
                  <w14:solidFill>
                    <w14:schemeClr w14:val="tx1"/>
                  </w14:solidFill>
                </w14:textFill>
              </w:rPr>
              <w:t>）排气筒高空达标排放。</w:t>
            </w:r>
            <w:r>
              <w:rPr>
                <w:rFonts w:hint="eastAsia" w:cs="Times New Roman"/>
                <w:color w:val="000000" w:themeColor="text1"/>
                <w:sz w:val="24"/>
                <w:u w:val="none"/>
                <w:lang w:val="en-US" w:eastAsia="zh-CN"/>
                <w14:textFill>
                  <w14:solidFill>
                    <w14:schemeClr w14:val="tx1"/>
                  </w14:solidFill>
                </w14:textFill>
              </w:rPr>
              <w:t>项目属于</w:t>
            </w:r>
            <w:r>
              <w:rPr>
                <w:rFonts w:hint="default" w:ascii="Times New Roman" w:hAnsi="Times New Roman" w:eastAsia="宋体" w:cs="Times New Roman"/>
                <w:color w:val="000000" w:themeColor="text1"/>
                <w:sz w:val="24"/>
                <w:u w:val="none"/>
                <w14:textFill>
                  <w14:solidFill>
                    <w14:schemeClr w14:val="tx1"/>
                  </w14:solidFill>
                </w14:textFill>
              </w:rPr>
              <w:t>《排污许可证申请与核发技术规范 锅炉》（HJ953—2018）表7锅炉烟气污染防治可行技术。</w:t>
            </w:r>
          </w:p>
          <w:p>
            <w:pPr>
              <w:spacing w:line="360" w:lineRule="auto"/>
              <w:ind w:firstLine="480"/>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“旋风除尘+布袋除尘”组合</w:t>
            </w:r>
            <w:r>
              <w:rPr>
                <w:rFonts w:hint="default" w:ascii="Times New Roman" w:hAnsi="Times New Roman" w:eastAsia="宋体" w:cs="Times New Roman"/>
                <w:color w:val="000000" w:themeColor="text1"/>
                <w:sz w:val="24"/>
                <w:u w:val="none"/>
                <w14:textFill>
                  <w14:solidFill>
                    <w14:schemeClr w14:val="tx1"/>
                  </w14:solidFill>
                </w14:textFill>
              </w:rPr>
              <w:t>设施可行性分析：</w:t>
            </w: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旋风除尘器是在离心的作用下实现粉尘从气流中分离，它属于中效除尘器。袋式除尘器是利用织物过滤含尘气体</w:t>
            </w:r>
            <w:r>
              <w:rPr>
                <w:rFonts w:hint="eastAsia" w:cs="Times New Roman"/>
                <w:i w:val="0"/>
                <w:iCs w:val="0"/>
                <w:caps w:val="0"/>
                <w:color w:val="000000" w:themeColor="text1"/>
                <w:spacing w:val="0"/>
                <w:sz w:val="24"/>
                <w:szCs w:val="24"/>
                <w:shd w:val="clear" w:color="auto" w:fill="FFFFFF"/>
                <w:lang w:eastAsia="zh-CN"/>
                <w14:textFill>
                  <w14:solidFill>
                    <w14:schemeClr w14:val="tx1"/>
                  </w14:solidFill>
                </w14:textFill>
              </w:rPr>
              <w:t>使</w:t>
            </w: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粉尘沉积在织物表面以达到净化气体的目的，它是一种广泛使用的高效除尘器</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旋风除尘器主要对高浓度含尘气体进行预处理，降低粉尘浓度，袋式除尘器是对含尘气体做深度处理，进一步提高粉尘的净化效果。</w:t>
            </w:r>
          </w:p>
          <w:p>
            <w:pPr>
              <w:spacing w:line="360" w:lineRule="auto"/>
              <w:ind w:firstLine="480"/>
              <w:rPr>
                <w:rFonts w:hint="default" w:ascii="Times New Roman" w:hAnsi="Times New Roman" w:eastAsia="宋体" w:cs="Times New Roman"/>
                <w:i w:val="0"/>
                <w:iCs w:val="0"/>
                <w:caps w:val="0"/>
                <w:color w:val="000000" w:themeColor="text1"/>
                <w:spacing w:val="0"/>
                <w:sz w:val="24"/>
                <w:szCs w:val="24"/>
                <w:shd w:val="clear" w:color="auto"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旋风式除尘器：含尘空气由除尘器的进口切线方向进入除尘器的内外筒之间，由上向下作旋转运动（形成外涡旋），逐渐到锥体底部。气流中的灰尘在离心力的作用下被甩向外壁，由于重力作用以及向下气流的带动而落入底部集尘斗。向下的气流到达锥体的底部后，沿除尘器的轴心部位转而向上，形成旋转上升的内涡旋，并由除尘器的出口排出。旋风除尘器具有结构简单、造价低、设备维护修理方便的优点</w:t>
            </w:r>
            <w:r>
              <w:rPr>
                <w:rFonts w:hint="default" w:ascii="Times New Roman" w:hAnsi="Times New Roman" w:eastAsia="宋体" w:cs="Times New Roman"/>
                <w:i w:val="0"/>
                <w:iCs w:val="0"/>
                <w:caps w:val="0"/>
                <w:color w:val="000000" w:themeColor="text1"/>
                <w:spacing w:val="0"/>
                <w:sz w:val="24"/>
                <w:szCs w:val="24"/>
                <w:shd w:val="clear" w:color="auto" w:fill="FFFFFF"/>
                <w:lang w:eastAsia="zh-CN"/>
                <w14:textFill>
                  <w14:solidFill>
                    <w14:schemeClr w14:val="tx1"/>
                  </w14:solidFill>
                </w14:textFill>
              </w:rPr>
              <w:t>。</w:t>
            </w:r>
          </w:p>
          <w:p>
            <w:pPr>
              <w:spacing w:line="360" w:lineRule="auto"/>
              <w:ind w:firstLine="480"/>
              <w:rPr>
                <w:rFonts w:hint="default" w:ascii="Times New Roman" w:hAnsi="Times New Roman" w:eastAsia="宋体" w:cs="Times New Roman"/>
                <w:i w:val="0"/>
                <w:iCs w:val="0"/>
                <w:caps w:val="0"/>
                <w:color w:val="000000" w:themeColor="text1"/>
                <w:spacing w:val="0"/>
                <w:sz w:val="24"/>
                <w:szCs w:val="24"/>
                <w:shd w:val="clear" w:color="auto"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布袋除尘器：过滤式除尘器的一种，含尘气流通过过滤材料将粉尘分离捕集的装置。这种装置主要采用纤维织物作滤料，常用在工业尾气的除尘方面。它的除尘效率一般可达99%以上。其主要原理是：含尘气流从进气管进入，从下部进入圆筒形滤袋，在通过滤料的孔隙时，粉尘被捕集与滤料上，透过滤料的清洁气体由排气管排出。沉积在滤料上的粉尘，可在振动的作用下从滤料表面脱落，落入灰斗中。因为滤料本身网孔较大，因而新鲜滤料的除尘效率较低，粉尘因截流、惯性碰撞、静电和扩散等作用，逐渐在滤袋表面形成粉尘层。初层形成后，它成为袋式除尘器的主要过滤层，提高了除尘效率。滤布只不过起着形成粉尘初层和支撑它的骨架作用，但随着粉尘在滤袋上积聚，滤袋两侧的压力差增大，会把有些已附在滤料上的细小粉尘挤压过去，使除尘效率显著下降。另外，若除尘器阻力过高，还会使除尘系统的处理气量显著下降，影响生产系统的排风效果。因此，除尘器阻力达到一定数值后，要及时清灰</w:t>
            </w:r>
            <w:r>
              <w:rPr>
                <w:rFonts w:hint="default" w:ascii="Times New Roman" w:hAnsi="Times New Roman" w:eastAsia="宋体" w:cs="Times New Roman"/>
                <w:i w:val="0"/>
                <w:iCs w:val="0"/>
                <w:caps w:val="0"/>
                <w:color w:val="000000" w:themeColor="text1"/>
                <w:spacing w:val="0"/>
                <w:sz w:val="24"/>
                <w:szCs w:val="24"/>
                <w:shd w:val="clear" w:color="auto" w:fill="FFFFFF"/>
                <w:lang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根据《排放源统计调查产排污核算方法和系数手册》“4430工业锅炉（热力生产和供应行业）产污系数表-生物质工业锅炉”中末端治理技术—</w:t>
            </w:r>
            <w:r>
              <w:rPr>
                <w:rFonts w:hint="default" w:ascii="Times New Roman" w:hAnsi="Times New Roman" w:eastAsia="宋体" w:cs="Times New Roman"/>
                <w:color w:val="000000" w:themeColor="text1"/>
                <w:sz w:val="24"/>
                <w:lang w:val="en-US" w:eastAsia="zh-CN"/>
                <w14:textFill>
                  <w14:solidFill>
                    <w14:schemeClr w14:val="tx1"/>
                  </w14:solidFill>
                </w14:textFill>
              </w:rPr>
              <w:t>袋式</w:t>
            </w:r>
            <w:r>
              <w:rPr>
                <w:rFonts w:hint="default" w:ascii="Times New Roman" w:hAnsi="Times New Roman" w:eastAsia="宋体" w:cs="Times New Roman"/>
                <w:color w:val="000000" w:themeColor="text1"/>
                <w:sz w:val="24"/>
                <w14:textFill>
                  <w14:solidFill>
                    <w14:schemeClr w14:val="tx1"/>
                  </w14:solidFill>
                </w14:textFill>
              </w:rPr>
              <w:t>除尘去除效率可知，颗粒物去除效率</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除尘效率1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14:textFill>
                  <w14:solidFill>
                    <w14:schemeClr w14:val="tx1"/>
                  </w14:solidFill>
                </w14:textFill>
              </w:rPr>
              <w:t>99</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，项目燃烧废气经过</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旋风除尘+布袋除尘”</w:t>
            </w:r>
            <w:r>
              <w:rPr>
                <w:rFonts w:hint="default" w:ascii="Times New Roman" w:hAnsi="Times New Roman" w:eastAsia="宋体" w:cs="Times New Roman"/>
                <w:color w:val="000000" w:themeColor="text1"/>
                <w:sz w:val="24"/>
                <w14:textFill>
                  <w14:solidFill>
                    <w14:schemeClr w14:val="tx1"/>
                  </w14:solidFill>
                </w14:textFill>
              </w:rPr>
              <w:t>处理后满足</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标准5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《锅炉大气污染物排放标准》（GB13271-2014）表</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限值</w:t>
            </w:r>
            <w:r>
              <w:rPr>
                <w:rFonts w:hint="default" w:ascii="Times New Roman" w:hAnsi="Times New Roman" w:eastAsia="宋体" w:cs="Times New Roman"/>
                <w:color w:val="000000" w:themeColor="text1"/>
                <w:sz w:val="24"/>
                <w:lang w:val="en-US" w:eastAsia="zh-CN"/>
                <w14:textFill>
                  <w14:solidFill>
                    <w14:schemeClr w14:val="tx1"/>
                  </w14:solidFill>
                </w14:textFill>
              </w:rPr>
              <w:t>要求</w:t>
            </w:r>
            <w:r>
              <w:rPr>
                <w:rFonts w:hint="default" w:ascii="Times New Roman" w:hAnsi="Times New Roman" w:eastAsia="宋体" w:cs="Times New Roman"/>
                <w:color w:val="000000" w:themeColor="text1"/>
                <w:sz w:val="24"/>
                <w14:textFill>
                  <w14:solidFill>
                    <w14:schemeClr w14:val="tx1"/>
                  </w14:solidFill>
                </w14:textFill>
              </w:rPr>
              <w:t>（颗粒物：</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，二氧化硫：</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00 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，氮氧化物：</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00mg/m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）。项目燃烧废气处理采用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旋风除尘+布袋除尘”</w:t>
            </w:r>
            <w:r>
              <w:rPr>
                <w:rFonts w:hint="default" w:ascii="Times New Roman" w:hAnsi="Times New Roman" w:eastAsia="宋体" w:cs="Times New Roman"/>
                <w:color w:val="000000" w:themeColor="text1"/>
                <w:sz w:val="24"/>
                <w14:textFill>
                  <w14:solidFill>
                    <w14:schemeClr w14:val="tx1"/>
                  </w14:solidFill>
                </w14:textFill>
              </w:rPr>
              <w:t>设施技术可行。</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②无组织废气治理措施技术可行性及废气达标可行性分析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为了最大程度减小无组织废气对周边环境的影响，本环评提出以下防治控制措施：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a、做好员工防护工作，配备必要的防护装备（如口罩、手套等）；</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b、加强生产车间通风和空气流通，生产车间的无组织废气采用车间整体换气；</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c、定期对设备及工位进行清扫，减少无组织粉尘逸散；</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d、建设方每天清理老化设备，老化间废渣一日一清，以减轻老化过程产生的异味。经过以上处理措施后，</w:t>
            </w:r>
            <w:r>
              <w:rPr>
                <w:rFonts w:hint="default" w:ascii="Times New Roman" w:hAnsi="Times New Roman" w:eastAsia="宋体" w:cs="Times New Roman"/>
                <w:color w:val="000000" w:themeColor="text1"/>
                <w:sz w:val="24"/>
                <w:szCs w:val="20"/>
                <w14:textFill>
                  <w14:solidFill>
                    <w14:schemeClr w14:val="tx1"/>
                  </w14:solidFill>
                </w14:textFill>
              </w:rPr>
              <w:t>无组织废气</w:t>
            </w:r>
            <w:r>
              <w:rPr>
                <w:rFonts w:hint="default" w:ascii="Times New Roman" w:hAnsi="Times New Roman" w:eastAsia="宋体" w:cs="Times New Roman"/>
                <w:color w:val="000000" w:themeColor="text1"/>
                <w:sz w:val="24"/>
                <w14:textFill>
                  <w14:solidFill>
                    <w14:schemeClr w14:val="tx1"/>
                  </w14:solidFill>
                </w14:textFill>
              </w:rPr>
              <w:t>对周边环境影响较小。</w:t>
            </w:r>
          </w:p>
          <w:p>
            <w:pPr>
              <w:widowControl/>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）污染物排放量核算</w:t>
            </w:r>
            <w:bookmarkStart w:id="51" w:name="4.3.1_有组织排放量核算"/>
            <w:bookmarkEnd w:id="51"/>
          </w:p>
          <w:p>
            <w:pPr>
              <w:widowControl/>
              <w:spacing w:line="360" w:lineRule="auto"/>
              <w:ind w:firstLine="480" w:firstLineChars="200"/>
              <w:jc w:val="left"/>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本项目废气污染物排放量核算具体情况如下表所示：</w:t>
            </w:r>
          </w:p>
          <w:p>
            <w:pPr>
              <w:widowControl/>
              <w:jc w:val="center"/>
              <w:rPr>
                <w:rStyle w:val="36"/>
                <w:rFonts w:hint="default" w:ascii="Times New Roman" w:hAnsi="Times New Roman" w:eastAsia="宋体" w:cs="Times New Roman"/>
                <w:b/>
                <w:bCs w:val="0"/>
                <w:color w:val="000000" w:themeColor="text1"/>
                <w:sz w:val="24"/>
                <w:szCs w:val="21"/>
                <w14:textFill>
                  <w14:solidFill>
                    <w14:schemeClr w14:val="tx1"/>
                  </w14:solidFill>
                </w14:textFill>
              </w:rPr>
            </w:pPr>
            <w:r>
              <w:rPr>
                <w:rStyle w:val="36"/>
                <w:rFonts w:hint="default" w:ascii="Times New Roman" w:hAnsi="Times New Roman" w:eastAsia="宋体" w:cs="Times New Roman"/>
                <w:b/>
                <w:bCs w:val="0"/>
                <w:color w:val="000000" w:themeColor="text1"/>
                <w:sz w:val="24"/>
                <w:szCs w:val="21"/>
                <w14:textFill>
                  <w14:solidFill>
                    <w14:schemeClr w14:val="tx1"/>
                  </w14:solidFill>
                </w14:textFill>
              </w:rPr>
              <w:t>表4-</w:t>
            </w:r>
            <w:r>
              <w:rPr>
                <w:rStyle w:val="36"/>
                <w:rFonts w:hint="default" w:ascii="Times New Roman" w:hAnsi="Times New Roman" w:eastAsia="宋体" w:cs="Times New Roman"/>
                <w:b/>
                <w:bCs w:val="0"/>
                <w:color w:val="000000" w:themeColor="text1"/>
                <w:sz w:val="24"/>
                <w:szCs w:val="21"/>
                <w:lang w:val="en-US" w:eastAsia="zh-CN"/>
                <w14:textFill>
                  <w14:solidFill>
                    <w14:schemeClr w14:val="tx1"/>
                  </w14:solidFill>
                </w14:textFill>
              </w:rPr>
              <w:t>3</w:t>
            </w:r>
            <w:r>
              <w:rPr>
                <w:rStyle w:val="36"/>
                <w:rFonts w:hint="default" w:ascii="Times New Roman" w:hAnsi="Times New Roman" w:eastAsia="宋体" w:cs="Times New Roman"/>
                <w:b/>
                <w:bCs w:val="0"/>
                <w:color w:val="000000" w:themeColor="text1"/>
                <w:sz w:val="24"/>
                <w:szCs w:val="21"/>
                <w14:textFill>
                  <w14:solidFill>
                    <w14:schemeClr w14:val="tx1"/>
                  </w14:solidFill>
                </w14:textFill>
              </w:rPr>
              <w:t xml:space="preserve">   大气污染物有组织排放量核算表</w:t>
            </w:r>
          </w:p>
          <w:tbl>
            <w:tblPr>
              <w:tblStyle w:val="33"/>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1226"/>
              <w:gridCol w:w="1766"/>
              <w:gridCol w:w="1369"/>
              <w:gridCol w:w="1377"/>
              <w:gridCol w:w="13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748"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排放口编号</w:t>
                  </w:r>
                </w:p>
              </w:tc>
              <w:tc>
                <w:tcPr>
                  <w:tcW w:w="1077"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w:t>
                  </w:r>
                </w:p>
              </w:tc>
              <w:tc>
                <w:tcPr>
                  <w:tcW w:w="835"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核算排放浓度mg/m</w:t>
                  </w:r>
                  <w:r>
                    <w:rPr>
                      <w:rFonts w:hint="default" w:ascii="Times New Roman" w:hAnsi="Times New Roman" w:eastAsia="宋体" w:cs="Times New Roman"/>
                      <w:b/>
                      <w:bCs/>
                      <w:color w:val="000000" w:themeColor="text1"/>
                      <w:vertAlign w:val="superscript"/>
                      <w14:textFill>
                        <w14:solidFill>
                          <w14:schemeClr w14:val="tx1"/>
                        </w14:solidFill>
                      </w14:textFill>
                    </w:rPr>
                    <w:t>3</w:t>
                  </w:r>
                </w:p>
              </w:tc>
              <w:tc>
                <w:tcPr>
                  <w:tcW w:w="839"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核算排放速率kg/h</w:t>
                  </w:r>
                </w:p>
              </w:tc>
              <w:tc>
                <w:tcPr>
                  <w:tcW w:w="843"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核算年排放量t/a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snapToGrid w:val="0"/>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74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w:t>
                  </w:r>
                </w:p>
              </w:tc>
              <w:tc>
                <w:tcPr>
                  <w:tcW w:w="10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83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0.8</w:t>
                  </w:r>
                </w:p>
              </w:tc>
              <w:tc>
                <w:tcPr>
                  <w:tcW w:w="8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15</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74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color w:val="000000" w:themeColor="text1"/>
                      <w14:textFill>
                        <w14:solidFill>
                          <w14:schemeClr w14:val="tx1"/>
                        </w14:solidFill>
                      </w14:textFill>
                    </w:rPr>
                  </w:pPr>
                </w:p>
              </w:tc>
              <w:tc>
                <w:tcPr>
                  <w:tcW w:w="10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83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109.</w:t>
                  </w:r>
                  <w:r>
                    <w:rPr>
                      <w:rFonts w:hint="eastAsia" w:cs="Times New Roman"/>
                      <w:color w:val="000000" w:themeColor="text1"/>
                      <w:szCs w:val="21"/>
                      <w:lang w:val="en-US" w:eastAsia="zh-CN"/>
                      <w14:textFill>
                        <w14:solidFill>
                          <w14:schemeClr w14:val="tx1"/>
                        </w14:solidFill>
                      </w14:textFill>
                    </w:rPr>
                    <w:t>2</w:t>
                  </w:r>
                </w:p>
              </w:tc>
              <w:tc>
                <w:tcPr>
                  <w:tcW w:w="8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204</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74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color w:val="000000" w:themeColor="text1"/>
                      <w14:textFill>
                        <w14:solidFill>
                          <w14:schemeClr w14:val="tx1"/>
                        </w14:solidFill>
                      </w14:textFill>
                    </w:rPr>
                  </w:pPr>
                </w:p>
              </w:tc>
              <w:tc>
                <w:tcPr>
                  <w:tcW w:w="10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835"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163.</w:t>
                  </w:r>
                  <w:r>
                    <w:rPr>
                      <w:rFonts w:hint="eastAsia" w:cs="Times New Roman"/>
                      <w:color w:val="000000" w:themeColor="text1"/>
                      <w:szCs w:val="21"/>
                      <w:lang w:val="en-US" w:eastAsia="zh-CN"/>
                      <w14:textFill>
                        <w14:solidFill>
                          <w14:schemeClr w14:val="tx1"/>
                        </w14:solidFill>
                      </w14:textFill>
                    </w:rPr>
                    <w:t>8</w:t>
                  </w:r>
                </w:p>
              </w:tc>
              <w:tc>
                <w:tcPr>
                  <w:tcW w:w="8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307</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pct"/>
                  <w:gridSpan w:val="2"/>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一般排放口合计</w:t>
                  </w:r>
                </w:p>
              </w:tc>
              <w:tc>
                <w:tcPr>
                  <w:tcW w:w="2752" w:type="pct"/>
                  <w:gridSpan w:val="3"/>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pct"/>
                  <w:gridSpan w:val="2"/>
                  <w:vMerge w:val="continue"/>
                  <w:tcBorders>
                    <w:left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752" w:type="pct"/>
                  <w:gridSpan w:val="3"/>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pct"/>
                  <w:gridSpan w:val="2"/>
                  <w:vMerge w:val="continue"/>
                  <w:tcBorders>
                    <w:left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752" w:type="pct"/>
                  <w:gridSpan w:val="3"/>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84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552</w:t>
                  </w:r>
                </w:p>
              </w:tc>
            </w:tr>
          </w:tbl>
          <w:p>
            <w:pPr>
              <w:widowControl/>
              <w:jc w:val="center"/>
              <w:rPr>
                <w:rStyle w:val="36"/>
                <w:rFonts w:hint="default" w:ascii="Times New Roman" w:hAnsi="Times New Roman" w:eastAsia="宋体" w:cs="Times New Roman"/>
                <w:b/>
                <w:bCs w:val="0"/>
                <w:color w:val="000000" w:themeColor="text1"/>
                <w:szCs w:val="21"/>
                <w14:textFill>
                  <w14:solidFill>
                    <w14:schemeClr w14:val="tx1"/>
                  </w14:solidFill>
                </w14:textFill>
              </w:rPr>
            </w:pPr>
            <w:r>
              <w:rPr>
                <w:rStyle w:val="36"/>
                <w:rFonts w:hint="default" w:ascii="Times New Roman" w:hAnsi="Times New Roman" w:eastAsia="宋体" w:cs="Times New Roman"/>
                <w:b/>
                <w:bCs w:val="0"/>
                <w:color w:val="000000" w:themeColor="text1"/>
                <w:sz w:val="24"/>
                <w:szCs w:val="21"/>
                <w14:textFill>
                  <w14:solidFill>
                    <w14:schemeClr w14:val="tx1"/>
                  </w14:solidFill>
                </w14:textFill>
              </w:rPr>
              <w:t>表4-</w:t>
            </w:r>
            <w:r>
              <w:rPr>
                <w:rStyle w:val="36"/>
                <w:rFonts w:hint="default" w:ascii="Times New Roman" w:hAnsi="Times New Roman" w:eastAsia="宋体" w:cs="Times New Roman"/>
                <w:b/>
                <w:bCs w:val="0"/>
                <w:color w:val="000000" w:themeColor="text1"/>
                <w:sz w:val="24"/>
                <w:szCs w:val="21"/>
                <w:lang w:val="en-US" w:eastAsia="zh-CN"/>
                <w14:textFill>
                  <w14:solidFill>
                    <w14:schemeClr w14:val="tx1"/>
                  </w14:solidFill>
                </w14:textFill>
              </w:rPr>
              <w:t>4</w:t>
            </w:r>
            <w:r>
              <w:rPr>
                <w:rStyle w:val="36"/>
                <w:rFonts w:hint="default" w:ascii="Times New Roman" w:hAnsi="Times New Roman" w:eastAsia="宋体" w:cs="Times New Roman"/>
                <w:b/>
                <w:bCs w:val="0"/>
                <w:color w:val="000000" w:themeColor="text1"/>
                <w:sz w:val="24"/>
                <w:szCs w:val="21"/>
                <w14:textFill>
                  <w14:solidFill>
                    <w14:schemeClr w14:val="tx1"/>
                  </w14:solidFill>
                </w14:textFill>
              </w:rPr>
              <w:t xml:space="preserve">   大气污染物无组织排放量核算表</w:t>
            </w:r>
          </w:p>
          <w:tbl>
            <w:tblPr>
              <w:tblStyle w:val="33"/>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324"/>
              <w:gridCol w:w="519"/>
              <w:gridCol w:w="1019"/>
              <w:gridCol w:w="824"/>
              <w:gridCol w:w="1258"/>
              <w:gridCol w:w="2223"/>
              <w:gridCol w:w="1042"/>
              <w:gridCol w:w="9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94" w:type="pct"/>
                  <w:vMerge w:val="restart"/>
                  <w:tcBorders>
                    <w:top w:val="single" w:color="auto" w:sz="8" w:space="0"/>
                    <w:left w:val="single" w:color="auto" w:sz="8"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319" w:type="pct"/>
                  <w:vMerge w:val="restart"/>
                  <w:tcBorders>
                    <w:top w:val="single" w:color="auto" w:sz="8"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排放口编号</w:t>
                  </w:r>
                </w:p>
              </w:tc>
              <w:tc>
                <w:tcPr>
                  <w:tcW w:w="623" w:type="pct"/>
                  <w:vMerge w:val="restart"/>
                  <w:tcBorders>
                    <w:top w:val="single" w:color="auto" w:sz="8"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产污环节</w:t>
                  </w:r>
                </w:p>
              </w:tc>
              <w:tc>
                <w:tcPr>
                  <w:tcW w:w="503" w:type="pct"/>
                  <w:vMerge w:val="restart"/>
                  <w:tcBorders>
                    <w:top w:val="single" w:color="auto" w:sz="8"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769" w:type="pct"/>
                  <w:vMerge w:val="restart"/>
                  <w:tcBorders>
                    <w:top w:val="single" w:color="auto" w:sz="8"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主要污染防治措施</w:t>
                  </w:r>
                </w:p>
              </w:tc>
              <w:tc>
                <w:tcPr>
                  <w:tcW w:w="1984" w:type="pct"/>
                  <w:gridSpan w:val="2"/>
                  <w:tcBorders>
                    <w:top w:val="single" w:color="auto" w:sz="8"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国家或地方污染物排放标准</w:t>
                  </w:r>
                </w:p>
              </w:tc>
              <w:tc>
                <w:tcPr>
                  <w:tcW w:w="606" w:type="pct"/>
                  <w:vMerge w:val="restart"/>
                  <w:tcBorders>
                    <w:top w:val="single" w:color="auto" w:sz="8"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年排放量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94" w:type="pct"/>
                  <w:vMerge w:val="continue"/>
                  <w:tcBorders>
                    <w:top w:val="single" w:color="auto" w:sz="8" w:space="0"/>
                    <w:left w:val="single" w:color="auto" w:sz="8"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319" w:type="pct"/>
                  <w:vMerge w:val="continue"/>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623" w:type="pct"/>
                  <w:vMerge w:val="continue"/>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503" w:type="pct"/>
                  <w:vMerge w:val="continue"/>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769" w:type="pct"/>
                  <w:vMerge w:val="continue"/>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357"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标准名称</w:t>
                  </w:r>
                </w:p>
              </w:tc>
              <w:tc>
                <w:tcPr>
                  <w:tcW w:w="626"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浓度限值（μg/m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606" w:type="pct"/>
                  <w:vMerge w:val="continue"/>
                  <w:tcBorders>
                    <w:top w:val="single" w:color="auto" w:sz="8" w:space="0"/>
                    <w:left w:val="single" w:color="auto" w:sz="6" w:space="0"/>
                    <w:bottom w:val="single" w:color="auto" w:sz="6" w:space="0"/>
                    <w:right w:val="single" w:color="auto" w:sz="8"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94" w:type="pct"/>
                  <w:tcBorders>
                    <w:top w:val="single" w:color="auto" w:sz="6" w:space="0"/>
                    <w:left w:val="single" w:color="auto" w:sz="8"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319"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2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淀粉开包及</w:t>
                  </w:r>
                  <w:r>
                    <w:rPr>
                      <w:rFonts w:hint="default" w:ascii="Times New Roman" w:hAnsi="Times New Roman" w:eastAsia="宋体" w:cs="Times New Roman"/>
                      <w:color w:val="000000" w:themeColor="text1"/>
                      <w:kern w:val="0"/>
                      <w:szCs w:val="21"/>
                      <w14:textFill>
                        <w14:solidFill>
                          <w14:schemeClr w14:val="tx1"/>
                        </w14:solidFill>
                      </w14:textFill>
                    </w:rPr>
                    <w:t>投料</w:t>
                  </w:r>
                </w:p>
              </w:tc>
              <w:tc>
                <w:tcPr>
                  <w:tcW w:w="50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颗粒物</w:t>
                  </w:r>
                </w:p>
              </w:tc>
              <w:tc>
                <w:tcPr>
                  <w:tcW w:w="769"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加强车间通风设施</w:t>
                  </w:r>
                </w:p>
              </w:tc>
              <w:tc>
                <w:tcPr>
                  <w:tcW w:w="1357"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《大气污染物综合排放标准》（GB16297-1996）中表2的无组织排放标准浓度限值</w:t>
                  </w:r>
                </w:p>
              </w:tc>
              <w:tc>
                <w:tcPr>
                  <w:tcW w:w="626"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w:t>
                  </w:r>
                </w:p>
              </w:tc>
              <w:tc>
                <w:tcPr>
                  <w:tcW w:w="606" w:type="pct"/>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2.15</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94" w:type="pct"/>
                  <w:tcBorders>
                    <w:top w:val="single" w:color="auto" w:sz="6" w:space="0"/>
                    <w:left w:val="single" w:color="auto" w:sz="8"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319"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23"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污水处理系统、车间</w:t>
                  </w:r>
                </w:p>
              </w:tc>
              <w:tc>
                <w:tcPr>
                  <w:tcW w:w="503"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S</w:t>
                  </w:r>
                </w:p>
              </w:tc>
              <w:tc>
                <w:tcPr>
                  <w:tcW w:w="769" w:type="pct"/>
                  <w:vMerge w:val="restart"/>
                  <w:tcBorders>
                    <w:top w:val="single" w:color="auto" w:sz="6" w:space="0"/>
                    <w:left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加强厂区绿化等</w:t>
                  </w:r>
                </w:p>
              </w:tc>
              <w:tc>
                <w:tcPr>
                  <w:tcW w:w="1357" w:type="pct"/>
                  <w:vMerge w:val="restart"/>
                  <w:tcBorders>
                    <w:top w:val="single" w:color="auto" w:sz="6" w:space="0"/>
                    <w:left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《恶臭污染物排放标准》（GB14554-93）中的二级厂界标准</w:t>
                  </w:r>
                </w:p>
              </w:tc>
              <w:tc>
                <w:tcPr>
                  <w:tcW w:w="626"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1500</w:t>
                  </w:r>
                </w:p>
              </w:tc>
              <w:tc>
                <w:tcPr>
                  <w:tcW w:w="606" w:type="pct"/>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0.071</w:t>
                  </w:r>
                  <w:r>
                    <w:rPr>
                      <w:rFonts w:hint="default" w:ascii="Times New Roman" w:hAnsi="Times New Roman" w:eastAsia="宋体" w:cs="Times New Roman"/>
                      <w:color w:val="000000" w:themeColor="text1"/>
                      <w14:textFill>
                        <w14:solidFill>
                          <w14:schemeClr w14:val="tx1"/>
                        </w14:solidFill>
                      </w14:textFill>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94" w:type="pct"/>
                  <w:tcBorders>
                    <w:top w:val="single" w:color="auto" w:sz="6" w:space="0"/>
                    <w:left w:val="single" w:color="auto" w:sz="8"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319"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23" w:type="pct"/>
                  <w:vMerge w:val="continue"/>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p>
              </w:tc>
              <w:tc>
                <w:tcPr>
                  <w:tcW w:w="503"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p>
              </w:tc>
              <w:tc>
                <w:tcPr>
                  <w:tcW w:w="769" w:type="pct"/>
                  <w:vMerge w:val="continue"/>
                  <w:tcBorders>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57" w:type="pct"/>
                  <w:vMerge w:val="continue"/>
                  <w:tcBorders>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p>
              </w:tc>
              <w:tc>
                <w:tcPr>
                  <w:tcW w:w="626"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c>
                <w:tcPr>
                  <w:tcW w:w="606" w:type="pct"/>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1.827</w:t>
                  </w:r>
                  <w:r>
                    <w:rPr>
                      <w:rFonts w:hint="default" w:ascii="Times New Roman" w:hAnsi="Times New Roman" w:eastAsia="宋体" w:cs="Times New Roman"/>
                      <w:color w:val="000000" w:themeColor="text1"/>
                      <w14:textFill>
                        <w14:solidFill>
                          <w14:schemeClr w14:val="tx1"/>
                        </w14:solidFill>
                      </w14:textFill>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640" w:type="pct"/>
                  <w:gridSpan w:val="4"/>
                  <w:vMerge w:val="restart"/>
                  <w:tcBorders>
                    <w:top w:val="single" w:color="auto" w:sz="6" w:space="0"/>
                    <w:left w:val="single" w:color="auto" w:sz="8"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无组织排放统计</w:t>
                  </w:r>
                </w:p>
              </w:tc>
              <w:tc>
                <w:tcPr>
                  <w:tcW w:w="212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颗粒物</w:t>
                  </w:r>
                </w:p>
              </w:tc>
              <w:tc>
                <w:tcPr>
                  <w:tcW w:w="1232" w:type="pct"/>
                  <w:gridSpan w:val="2"/>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rightChars="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2.15</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640" w:type="pct"/>
                  <w:gridSpan w:val="4"/>
                  <w:vMerge w:val="continue"/>
                  <w:tcBorders>
                    <w:left w:val="single" w:color="auto" w:sz="8"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p>
              </w:tc>
              <w:tc>
                <w:tcPr>
                  <w:tcW w:w="2126" w:type="pct"/>
                  <w:gridSpan w:val="2"/>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S</w:t>
                  </w:r>
                </w:p>
              </w:tc>
              <w:tc>
                <w:tcPr>
                  <w:tcW w:w="1232" w:type="pct"/>
                  <w:gridSpan w:val="2"/>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rightChars="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0.071</w:t>
                  </w:r>
                  <w:r>
                    <w:rPr>
                      <w:rFonts w:hint="default" w:ascii="Times New Roman" w:hAnsi="Times New Roman" w:eastAsia="宋体" w:cs="Times New Roman"/>
                      <w:color w:val="000000" w:themeColor="text1"/>
                      <w14:textFill>
                        <w14:solidFill>
                          <w14:schemeClr w14:val="tx1"/>
                        </w14:solidFill>
                      </w14:textFill>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1640" w:type="pct"/>
                  <w:gridSpan w:val="4"/>
                  <w:vMerge w:val="continue"/>
                  <w:tcBorders>
                    <w:left w:val="single" w:color="auto" w:sz="8" w:space="0"/>
                    <w:bottom w:val="single" w:color="auto" w:sz="8"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14:textFill>
                        <w14:solidFill>
                          <w14:schemeClr w14:val="tx1"/>
                        </w14:solidFill>
                      </w14:textFill>
                    </w:rPr>
                  </w:pPr>
                </w:p>
              </w:tc>
              <w:tc>
                <w:tcPr>
                  <w:tcW w:w="2126" w:type="pct"/>
                  <w:gridSpan w:val="2"/>
                  <w:tcBorders>
                    <w:top w:val="single" w:color="auto" w:sz="6" w:space="0"/>
                    <w:left w:val="single" w:color="auto" w:sz="6" w:space="0"/>
                    <w:bottom w:val="single" w:color="auto" w:sz="8" w:space="0"/>
                    <w:right w:val="single" w:color="auto" w:sz="6" w:space="0"/>
                  </w:tcBorders>
                  <w:vAlign w:val="center"/>
                </w:tcPr>
                <w:p>
                  <w:pPr>
                    <w:pStyle w:val="74"/>
                    <w:keepNext w:val="0"/>
                    <w:keepLines w:val="0"/>
                    <w:pageBreakBefore w:val="0"/>
                    <w:kinsoku/>
                    <w:wordWrap/>
                    <w:overflowPunct/>
                    <w:topLinePunct w:val="0"/>
                    <w:bidi w:val="0"/>
                    <w:spacing w:before="0" w:after="0" w:line="240" w:lineRule="auto"/>
                    <w:ind w:right="0" w:firstLine="0" w:firstLineChars="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p>
              </w:tc>
              <w:tc>
                <w:tcPr>
                  <w:tcW w:w="1232" w:type="pct"/>
                  <w:gridSpan w:val="2"/>
                  <w:tcBorders>
                    <w:top w:val="single" w:color="auto" w:sz="6" w:space="0"/>
                    <w:left w:val="single" w:color="auto" w:sz="6" w:space="0"/>
                    <w:bottom w:val="single" w:color="auto" w:sz="8"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rightChars="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1.827</w:t>
                  </w:r>
                  <w:r>
                    <w:rPr>
                      <w:rFonts w:hint="default" w:ascii="Times New Roman" w:hAnsi="Times New Roman" w:eastAsia="宋体" w:cs="Times New Roman"/>
                      <w:color w:val="000000" w:themeColor="text1"/>
                      <w14:textFill>
                        <w14:solidFill>
                          <w14:schemeClr w14:val="tx1"/>
                        </w14:solidFill>
                      </w14:textFill>
                    </w:rPr>
                    <w:t>kg/a</w:t>
                  </w:r>
                </w:p>
              </w:tc>
            </w:tr>
          </w:tbl>
          <w:p>
            <w:pPr>
              <w:widowControl/>
              <w:adjustRightInd w:val="0"/>
              <w:snapToGrid w:val="0"/>
              <w:spacing w:before="120" w:beforeLines="50"/>
              <w:ind w:firstLine="422" w:firstLineChars="200"/>
              <w:jc w:val="center"/>
              <w:rPr>
                <w:rStyle w:val="36"/>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br w:type="page"/>
            </w:r>
            <w:r>
              <w:rPr>
                <w:rStyle w:val="36"/>
                <w:rFonts w:hint="default" w:ascii="Times New Roman" w:hAnsi="Times New Roman" w:eastAsia="宋体" w:cs="Times New Roman"/>
                <w:b/>
                <w:bCs/>
                <w:color w:val="000000" w:themeColor="text1"/>
                <w:szCs w:val="21"/>
                <w14:textFill>
                  <w14:solidFill>
                    <w14:schemeClr w14:val="tx1"/>
                  </w14:solidFill>
                </w14:textFill>
              </w:rPr>
              <w:t>表4-</w:t>
            </w:r>
            <w:r>
              <w:rPr>
                <w:rStyle w:val="36"/>
                <w:rFonts w:hint="default" w:ascii="Times New Roman" w:hAnsi="Times New Roman" w:eastAsia="宋体" w:cs="Times New Roman"/>
                <w:b/>
                <w:bCs/>
                <w:color w:val="000000" w:themeColor="text1"/>
                <w:szCs w:val="21"/>
                <w:lang w:val="en-US" w:eastAsia="zh-CN"/>
                <w14:textFill>
                  <w14:solidFill>
                    <w14:schemeClr w14:val="tx1"/>
                  </w14:solidFill>
                </w14:textFill>
              </w:rPr>
              <w:t>5</w:t>
            </w:r>
            <w:r>
              <w:rPr>
                <w:rStyle w:val="36"/>
                <w:rFonts w:hint="default" w:ascii="Times New Roman" w:hAnsi="Times New Roman" w:eastAsia="宋体" w:cs="Times New Roman"/>
                <w:b/>
                <w:bCs/>
                <w:color w:val="000000" w:themeColor="text1"/>
                <w:szCs w:val="21"/>
                <w14:textFill>
                  <w14:solidFill>
                    <w14:schemeClr w14:val="tx1"/>
                  </w14:solidFill>
                </w14:textFill>
              </w:rPr>
              <w:t xml:space="preserve">   大气污染物年排放量核算表</w:t>
            </w:r>
          </w:p>
          <w:tbl>
            <w:tblPr>
              <w:tblStyle w:val="33"/>
              <w:tblW w:w="4998"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674"/>
              <w:gridCol w:w="2422"/>
              <w:gridCol w:w="31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tcBorders>
                    <w:top w:val="single" w:color="auto" w:sz="8"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477"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tc>
              <w:tc>
                <w:tcPr>
                  <w:tcW w:w="1891" w:type="pct"/>
                  <w:tcBorders>
                    <w:top w:val="single" w:color="auto" w:sz="8" w:space="0"/>
                    <w:left w:val="single" w:color="auto" w:sz="6" w:space="0"/>
                    <w:bottom w:val="single" w:color="auto" w:sz="6" w:space="0"/>
                    <w:right w:val="single" w:color="auto" w:sz="8"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年排放量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4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891" w:type="pct"/>
                  <w:tcBorders>
                    <w:top w:val="single" w:color="auto" w:sz="6" w:space="0"/>
                    <w:left w:val="single" w:color="auto" w:sz="6" w:space="0"/>
                    <w:bottom w:val="single" w:color="auto" w:sz="6" w:space="0"/>
                    <w:right w:val="single" w:color="auto" w:sz="8"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153</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4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3097" w:type="dxa"/>
                  <w:tcBorders>
                    <w:top w:val="single" w:color="auto" w:sz="6" w:space="0"/>
                    <w:left w:val="single" w:color="auto" w:sz="6" w:space="0"/>
                    <w:bottom w:val="single" w:color="auto" w:sz="6" w:space="0"/>
                    <w:right w:val="single" w:color="auto" w:sz="8"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368</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631"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477" w:type="pct"/>
                  <w:tcBorders>
                    <w:top w:val="single" w:color="auto" w:sz="6" w:space="0"/>
                    <w:left w:val="single" w:color="auto" w:sz="6" w:space="0"/>
                    <w:bottom w:val="single" w:color="auto" w:sz="6" w:space="0"/>
                    <w:right w:val="single" w:color="auto" w:sz="6" w:space="0"/>
                  </w:tcBorders>
                  <w:vAlign w:val="center"/>
                </w:tcPr>
                <w:p>
                  <w:pPr>
                    <w:pStyle w:val="2"/>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3097" w:type="dxa"/>
                  <w:tcBorders>
                    <w:top w:val="single" w:color="auto" w:sz="6" w:space="0"/>
                    <w:left w:val="single" w:color="auto" w:sz="6" w:space="0"/>
                    <w:bottom w:val="single" w:color="auto" w:sz="6" w:space="0"/>
                    <w:right w:val="single" w:color="auto" w:sz="8"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552</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1477"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S</w:t>
                  </w:r>
                </w:p>
              </w:tc>
              <w:tc>
                <w:tcPr>
                  <w:tcW w:w="1891" w:type="pct"/>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rightChars="0" w:firstLine="0" w:firstLineChars="0"/>
                    <w:textAlignment w:val="auto"/>
                    <w:rPr>
                      <w:rFonts w:hint="default" w:ascii="Times New Roman" w:hAnsi="Times New Roman" w:eastAsia="宋体" w:cs="Times New Roman"/>
                      <w:color w:val="000000" w:themeColor="text1"/>
                      <w:kern w:val="0"/>
                      <w:sz w:val="21"/>
                      <w:szCs w:val="2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0.071</w:t>
                  </w:r>
                  <w:r>
                    <w:rPr>
                      <w:rFonts w:hint="default" w:ascii="Times New Roman" w:hAnsi="Times New Roman" w:eastAsia="宋体" w:cs="Times New Roman"/>
                      <w:color w:val="000000" w:themeColor="text1"/>
                      <w14:textFill>
                        <w14:solidFill>
                          <w14:schemeClr w14:val="tx1"/>
                        </w14:solidFill>
                      </w14:textFill>
                    </w:rPr>
                    <w:t>kg/a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1477" w:type="pct"/>
                  <w:tcBorders>
                    <w:top w:val="single" w:color="auto" w:sz="6" w:space="0"/>
                    <w:left w:val="single" w:color="auto" w:sz="6" w:space="0"/>
                    <w:bottom w:val="single" w:color="auto" w:sz="6" w:space="0"/>
                    <w:right w:val="single" w:color="auto" w:sz="6" w:space="0"/>
                  </w:tcBorders>
                  <w:vAlign w:val="center"/>
                </w:tcPr>
                <w:p>
                  <w:pPr>
                    <w:pStyle w:val="74"/>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NH</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p>
              </w:tc>
              <w:tc>
                <w:tcPr>
                  <w:tcW w:w="1891" w:type="pct"/>
                  <w:tcBorders>
                    <w:top w:val="single" w:color="auto" w:sz="6" w:space="0"/>
                    <w:left w:val="single" w:color="auto" w:sz="6" w:space="0"/>
                    <w:bottom w:val="single" w:color="auto" w:sz="6" w:space="0"/>
                    <w:right w:val="single" w:color="auto" w:sz="8" w:space="0"/>
                  </w:tcBorders>
                  <w:vAlign w:val="center"/>
                </w:tcPr>
                <w:p>
                  <w:pPr>
                    <w:pStyle w:val="74"/>
                    <w:keepNext w:val="0"/>
                    <w:keepLines w:val="0"/>
                    <w:pageBreakBefore w:val="0"/>
                    <w:kinsoku/>
                    <w:wordWrap/>
                    <w:overflowPunct/>
                    <w:topLinePunct w:val="0"/>
                    <w:bidi w:val="0"/>
                    <w:spacing w:before="0" w:after="0" w:line="240" w:lineRule="auto"/>
                    <w:ind w:right="0" w:rightChars="0" w:firstLine="0" w:firstLineChars="0"/>
                    <w:textAlignment w:val="auto"/>
                    <w:rPr>
                      <w:rFonts w:hint="default" w:ascii="Times New Roman" w:hAnsi="Times New Roman" w:eastAsia="宋体" w:cs="Times New Roman"/>
                      <w:color w:val="000000" w:themeColor="text1"/>
                      <w:kern w:val="0"/>
                      <w:sz w:val="21"/>
                      <w:szCs w:val="2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1.827</w:t>
                  </w:r>
                  <w:r>
                    <w:rPr>
                      <w:rFonts w:hint="default" w:ascii="Times New Roman" w:hAnsi="Times New Roman" w:eastAsia="宋体" w:cs="Times New Roman"/>
                      <w:color w:val="000000" w:themeColor="text1"/>
                      <w14:textFill>
                        <w14:solidFill>
                          <w14:schemeClr w14:val="tx1"/>
                        </w14:solidFill>
                      </w14:textFill>
                    </w:rPr>
                    <w:t>kg/a</w:t>
                  </w:r>
                </w:p>
              </w:tc>
            </w:tr>
          </w:tbl>
          <w:p>
            <w:pPr>
              <w:widowControl/>
              <w:adjustRightInd w:val="0"/>
              <w:snapToGrid w:val="0"/>
              <w:spacing w:line="360" w:lineRule="auto"/>
              <w:ind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非正常工况分析</w:t>
            </w:r>
          </w:p>
          <w:p>
            <w:pPr>
              <w:spacing w:line="360" w:lineRule="auto"/>
              <w:ind w:firstLine="480" w:firstLineChars="200"/>
              <w:rPr>
                <w:rFonts w:ascii="Times New Roman" w:hAnsi="Times New Roman"/>
                <w:sz w:val="24"/>
                <w:szCs w:val="24"/>
              </w:rPr>
            </w:pPr>
            <w:r>
              <w:rPr>
                <w:rFonts w:ascii="Times New Roman" w:hAnsi="Times New Roman"/>
                <w:sz w:val="24"/>
                <w:szCs w:val="24"/>
              </w:rPr>
              <w:t>本项目大气非正常工况主要考虑</w:t>
            </w:r>
            <w:r>
              <w:rPr>
                <w:rFonts w:hint="eastAsia" w:ascii="Times New Roman" w:hAnsi="Times New Roman"/>
                <w:sz w:val="24"/>
                <w:szCs w:val="24"/>
              </w:rPr>
              <w:t>旋风除尘+布袋除尘器</w:t>
            </w:r>
            <w:r>
              <w:rPr>
                <w:rFonts w:ascii="Times New Roman" w:hAnsi="Times New Roman"/>
                <w:sz w:val="24"/>
                <w:szCs w:val="24"/>
              </w:rPr>
              <w:t>治理措施失效的情景，在非正常工况下，考虑最不利环境影响，</w:t>
            </w:r>
            <w:r>
              <w:rPr>
                <w:rFonts w:ascii="Times New Roman" w:hAnsi="Times New Roman"/>
                <w:sz w:val="24"/>
                <w:szCs w:val="24"/>
                <w:highlight w:val="none"/>
              </w:rPr>
              <w:t>除尘效率为</w:t>
            </w:r>
            <w:r>
              <w:rPr>
                <w:rFonts w:hint="eastAsia" w:ascii="Times New Roman" w:hAnsi="Times New Roman"/>
                <w:sz w:val="24"/>
                <w:szCs w:val="24"/>
                <w:highlight w:val="none"/>
                <w:lang w:val="en-US" w:eastAsia="zh-CN"/>
              </w:rPr>
              <w:t>3</w:t>
            </w:r>
            <w:r>
              <w:rPr>
                <w:rFonts w:ascii="Times New Roman" w:hAnsi="Times New Roman"/>
                <w:sz w:val="24"/>
                <w:szCs w:val="24"/>
                <w:highlight w:val="none"/>
              </w:rPr>
              <w:t>0</w:t>
            </w:r>
            <w:r>
              <w:rPr>
                <w:rFonts w:hint="eastAsia" w:ascii="Times New Roman" w:hAnsi="Times New Roman"/>
                <w:sz w:val="24"/>
                <w:szCs w:val="24"/>
                <w:highlight w:val="none"/>
                <w:lang w:val="en-US" w:eastAsia="zh-CN"/>
              </w:rPr>
              <w:t>%</w:t>
            </w:r>
            <w:r>
              <w:rPr>
                <w:rFonts w:ascii="Times New Roman" w:hAnsi="Times New Roman"/>
                <w:sz w:val="24"/>
                <w:szCs w:val="24"/>
                <w:highlight w:val="none"/>
              </w:rPr>
              <w:t>，</w:t>
            </w:r>
            <w:r>
              <w:rPr>
                <w:rFonts w:ascii="Times New Roman" w:hAnsi="Times New Roman"/>
                <w:sz w:val="24"/>
                <w:szCs w:val="24"/>
              </w:rPr>
              <w:t>每年发生1次，每次持续1小时，非正常工况下废气污染物排放情况见下表。</w:t>
            </w:r>
          </w:p>
          <w:p>
            <w:pPr>
              <w:adjustRightInd w:val="0"/>
              <w:snapToGrid w:val="0"/>
              <w:spacing w:line="360" w:lineRule="auto"/>
              <w:jc w:val="center"/>
              <w:rPr>
                <w:rFonts w:hint="eastAsia" w:ascii="Times New Roman" w:hAnsi="Times New Roman" w:eastAsia="宋体" w:cs="Times New Roman"/>
                <w:b/>
                <w:sz w:val="24"/>
                <w:szCs w:val="24"/>
                <w:lang w:val="en-US" w:eastAsia="zh-CN" w:bidi="ar-SA"/>
              </w:rPr>
            </w:pPr>
            <w:r>
              <w:rPr>
                <w:rFonts w:hint="eastAsia" w:ascii="Times New Roman" w:hAnsi="Times New Roman" w:eastAsia="宋体" w:cs="Times New Roman"/>
                <w:b/>
                <w:sz w:val="24"/>
                <w:szCs w:val="24"/>
                <w:lang w:val="en-US" w:eastAsia="zh-CN" w:bidi="ar-SA"/>
              </w:rPr>
              <w:t>表4-4  项目</w:t>
            </w:r>
            <w:r>
              <w:rPr>
                <w:rFonts w:hint="eastAsia" w:cs="Times New Roman"/>
                <w:b/>
                <w:sz w:val="24"/>
                <w:szCs w:val="24"/>
                <w:lang w:val="en-US" w:eastAsia="zh-CN" w:bidi="ar-SA"/>
              </w:rPr>
              <w:t>2</w:t>
            </w:r>
            <w:r>
              <w:rPr>
                <w:rFonts w:hint="eastAsia" w:ascii="Times New Roman" w:hAnsi="Times New Roman" w:eastAsia="宋体" w:cs="Times New Roman"/>
                <w:b/>
                <w:sz w:val="24"/>
                <w:szCs w:val="24"/>
                <w:lang w:val="en-US" w:eastAsia="zh-CN" w:bidi="ar-SA"/>
              </w:rPr>
              <w:t>t/h生物质锅炉非正常工况下排放情况表</w:t>
            </w:r>
          </w:p>
          <w:tbl>
            <w:tblPr>
              <w:tblStyle w:val="33"/>
              <w:tblW w:w="4996"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649"/>
              <w:gridCol w:w="701"/>
              <w:gridCol w:w="612"/>
              <w:gridCol w:w="1039"/>
              <w:gridCol w:w="1111"/>
              <w:gridCol w:w="970"/>
              <w:gridCol w:w="1039"/>
              <w:gridCol w:w="1039"/>
              <w:gridCol w:w="104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25" w:hRule="atLeast"/>
              </w:trPr>
              <w:tc>
                <w:tcPr>
                  <w:tcW w:w="380" w:type="pct"/>
                  <w:vMerge w:val="restar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名称</w:t>
                  </w:r>
                </w:p>
              </w:tc>
              <w:tc>
                <w:tcPr>
                  <w:tcW w:w="429" w:type="pct"/>
                  <w:vMerge w:val="restar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年排放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小时数/h</w:t>
                  </w:r>
                </w:p>
              </w:tc>
              <w:tc>
                <w:tcPr>
                  <w:tcW w:w="375" w:type="pct"/>
                  <w:vMerge w:val="restar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排放工况</w:t>
                  </w:r>
                </w:p>
              </w:tc>
              <w:tc>
                <w:tcPr>
                  <w:tcW w:w="1907" w:type="pct"/>
                  <w:gridSpan w:val="3"/>
                  <w:tcBorders>
                    <w:tl2br w:val="nil"/>
                    <w:tr2bl w:val="nil"/>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污染物排放速率/(kg/h)</w:t>
                  </w:r>
                </w:p>
              </w:tc>
              <w:tc>
                <w:tcPr>
                  <w:tcW w:w="1907" w:type="pct"/>
                  <w:gridSpan w:val="3"/>
                  <w:tcBorders>
                    <w:tl2br w:val="nil"/>
                    <w:tr2bl w:val="nil"/>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排放浓度（mg/m</w:t>
                  </w:r>
                  <w:r>
                    <w:rPr>
                      <w:rFonts w:ascii="Times New Roman" w:hAnsi="Times New Roman"/>
                      <w:sz w:val="21"/>
                      <w:szCs w:val="21"/>
                      <w:vertAlign w:val="superscript"/>
                    </w:rPr>
                    <w:t>3</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285" w:hRule="atLeast"/>
              </w:trPr>
              <w:tc>
                <w:tcPr>
                  <w:tcW w:w="380" w:type="pct"/>
                  <w:vMerge w:val="continue"/>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p>
              </w:tc>
              <w:tc>
                <w:tcPr>
                  <w:tcW w:w="429" w:type="pct"/>
                  <w:vMerge w:val="continue"/>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p>
              </w:tc>
              <w:tc>
                <w:tcPr>
                  <w:tcW w:w="375" w:type="pct"/>
                  <w:vMerge w:val="continue"/>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颗粒物</w:t>
                  </w:r>
                </w:p>
              </w:tc>
              <w:tc>
                <w:tcPr>
                  <w:tcW w:w="679"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21"/>
                      <w:szCs w:val="21"/>
                      <w:lang w:val="en-US" w:eastAsia="zh-CN" w:bidi="ar-SA"/>
                    </w:rPr>
                  </w:pPr>
                  <w:r>
                    <w:rPr>
                      <w:rFonts w:ascii="Times New Roman" w:hAnsi="Times New Roman"/>
                      <w:sz w:val="21"/>
                      <w:szCs w:val="21"/>
                    </w:rPr>
                    <w:t>SO</w:t>
                  </w:r>
                  <w:r>
                    <w:rPr>
                      <w:rFonts w:ascii="Times New Roman" w:hAnsi="Times New Roman"/>
                      <w:sz w:val="21"/>
                      <w:szCs w:val="21"/>
                      <w:vertAlign w:val="subscript"/>
                    </w:rPr>
                    <w:t>2</w:t>
                  </w:r>
                </w:p>
              </w:tc>
              <w:tc>
                <w:tcPr>
                  <w:tcW w:w="593"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21"/>
                      <w:szCs w:val="21"/>
                      <w:lang w:val="en-US" w:eastAsia="zh-CN" w:bidi="ar-SA"/>
                    </w:rPr>
                  </w:pPr>
                  <w:r>
                    <w:rPr>
                      <w:rFonts w:ascii="Times New Roman" w:hAnsi="Times New Roman"/>
                      <w:sz w:val="21"/>
                      <w:szCs w:val="21"/>
                    </w:rPr>
                    <w:t>NO</w:t>
                  </w:r>
                  <w:r>
                    <w:rPr>
                      <w:rFonts w:ascii="Times New Roman" w:hAnsi="Times New Roman"/>
                      <w:sz w:val="21"/>
                      <w:szCs w:val="21"/>
                      <w:vertAlign w:val="subscript"/>
                    </w:rPr>
                    <w:t>x</w:t>
                  </w: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21"/>
                      <w:szCs w:val="21"/>
                      <w:lang w:val="en-US" w:eastAsia="zh-CN" w:bidi="ar-SA"/>
                    </w:rPr>
                  </w:pPr>
                  <w:r>
                    <w:rPr>
                      <w:rFonts w:ascii="Times New Roman" w:hAnsi="Times New Roman"/>
                      <w:sz w:val="21"/>
                      <w:szCs w:val="21"/>
                    </w:rPr>
                    <w:t>颗粒物</w:t>
                  </w: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21"/>
                      <w:szCs w:val="21"/>
                      <w:lang w:val="en-US" w:eastAsia="zh-CN" w:bidi="ar-SA"/>
                    </w:rPr>
                  </w:pPr>
                  <w:r>
                    <w:rPr>
                      <w:rFonts w:ascii="Times New Roman" w:hAnsi="Times New Roman"/>
                      <w:sz w:val="21"/>
                      <w:szCs w:val="21"/>
                    </w:rPr>
                    <w:t>SO</w:t>
                  </w:r>
                  <w:r>
                    <w:rPr>
                      <w:rFonts w:ascii="Times New Roman" w:hAnsi="Times New Roman"/>
                      <w:sz w:val="21"/>
                      <w:szCs w:val="21"/>
                      <w:vertAlign w:val="subscript"/>
                    </w:rPr>
                    <w:t>2</w:t>
                  </w:r>
                </w:p>
              </w:tc>
              <w:tc>
                <w:tcPr>
                  <w:tcW w:w="636"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21"/>
                      <w:szCs w:val="21"/>
                      <w:lang w:val="en-US" w:eastAsia="zh-CN" w:bidi="ar-SA"/>
                    </w:rPr>
                  </w:pPr>
                  <w:r>
                    <w:rPr>
                      <w:rFonts w:ascii="Times New Roman" w:hAnsi="Times New Roman"/>
                      <w:sz w:val="21"/>
                      <w:szCs w:val="21"/>
                    </w:rPr>
                    <w:t>NO</w:t>
                  </w:r>
                  <w:r>
                    <w:rPr>
                      <w:rFonts w:ascii="Times New Roman" w:hAnsi="Times New Roman"/>
                      <w:sz w:val="21"/>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285" w:hRule="atLeast"/>
              </w:trPr>
              <w:tc>
                <w:tcPr>
                  <w:tcW w:w="380"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hint="eastAsia" w:ascii="Times New Roman" w:hAnsi="Times New Roman"/>
                      <w:sz w:val="21"/>
                      <w:szCs w:val="21"/>
                      <w:lang w:eastAsia="zh-CN"/>
                    </w:rPr>
                    <w:t>生物质锅炉</w:t>
                  </w:r>
                  <w:r>
                    <w:rPr>
                      <w:rFonts w:ascii="Times New Roman" w:hAnsi="Times New Roman"/>
                      <w:sz w:val="21"/>
                      <w:szCs w:val="21"/>
                    </w:rPr>
                    <w:t>烟囱DA001</w:t>
                  </w:r>
                </w:p>
              </w:tc>
              <w:tc>
                <w:tcPr>
                  <w:tcW w:w="429"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1</w:t>
                  </w:r>
                </w:p>
              </w:tc>
              <w:tc>
                <w:tcPr>
                  <w:tcW w:w="37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 w:val="21"/>
                      <w:szCs w:val="21"/>
                    </w:rPr>
                  </w:pPr>
                  <w:r>
                    <w:rPr>
                      <w:rFonts w:ascii="Times New Roman" w:hAnsi="Times New Roman"/>
                      <w:sz w:val="21"/>
                      <w:szCs w:val="21"/>
                    </w:rPr>
                    <w:t>非正常</w:t>
                  </w: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0.15</w:t>
                  </w:r>
                </w:p>
              </w:tc>
              <w:tc>
                <w:tcPr>
                  <w:tcW w:w="679"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0.204</w:t>
                  </w:r>
                </w:p>
              </w:tc>
              <w:tc>
                <w:tcPr>
                  <w:tcW w:w="593"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0.307</w:t>
                  </w: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56.09</w:t>
                  </w:r>
                </w:p>
              </w:tc>
              <w:tc>
                <w:tcPr>
                  <w:tcW w:w="635"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76.28</w:t>
                  </w:r>
                </w:p>
              </w:tc>
              <w:tc>
                <w:tcPr>
                  <w:tcW w:w="636" w:type="pct"/>
                  <w:tcBorders>
                    <w:tl2br w:val="nil"/>
                    <w:tr2bl w:val="nil"/>
                  </w:tcBorders>
                  <w:shd w:val="clear" w:color="000000"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114.80</w:t>
                  </w:r>
                </w:p>
              </w:tc>
            </w:tr>
          </w:tbl>
          <w:p>
            <w:pPr>
              <w:adjustRightInd w:val="0"/>
              <w:snapToGrid w:val="0"/>
              <w:spacing w:line="360" w:lineRule="auto"/>
              <w:ind w:firstLine="480" w:firstLineChars="200"/>
              <w:rPr>
                <w:rFonts w:ascii="Times New Roman" w:hAnsi="Times New Roman"/>
                <w:sz w:val="24"/>
                <w:szCs w:val="24"/>
                <w:highlight w:val="yellow"/>
              </w:rPr>
            </w:pPr>
            <w:r>
              <w:rPr>
                <w:rFonts w:ascii="Times New Roman" w:hAnsi="Times New Roman"/>
                <w:sz w:val="24"/>
                <w:szCs w:val="24"/>
              </w:rPr>
              <w:t>由上表可知，</w:t>
            </w:r>
            <w:r>
              <w:rPr>
                <w:rFonts w:hint="eastAsia" w:ascii="Times New Roman" w:hAnsi="Times New Roman"/>
                <w:sz w:val="24"/>
                <w:szCs w:val="24"/>
                <w:lang w:eastAsia="zh-CN"/>
              </w:rPr>
              <w:t>生物质锅炉旋风除尘+布袋除尘器</w:t>
            </w:r>
            <w:r>
              <w:rPr>
                <w:rFonts w:ascii="Times New Roman" w:hAnsi="Times New Roman"/>
                <w:sz w:val="24"/>
                <w:szCs w:val="24"/>
              </w:rPr>
              <w:t>故障情况下，</w:t>
            </w:r>
            <w:r>
              <w:rPr>
                <w:rFonts w:hint="eastAsia" w:ascii="Times New Roman" w:hAnsi="Times New Roman"/>
                <w:sz w:val="24"/>
                <w:szCs w:val="24"/>
                <w:lang w:val="en-US" w:eastAsia="zh-CN"/>
              </w:rPr>
              <w:t>2t/h生物质锅炉</w:t>
            </w:r>
            <w:r>
              <w:rPr>
                <w:rFonts w:ascii="Times New Roman" w:hAnsi="Times New Roman"/>
                <w:sz w:val="24"/>
                <w:szCs w:val="24"/>
              </w:rPr>
              <w:t>颗粒物的排放</w:t>
            </w:r>
            <w:r>
              <w:rPr>
                <w:rFonts w:hint="eastAsia" w:ascii="Times New Roman" w:hAnsi="Times New Roman"/>
                <w:sz w:val="24"/>
                <w:szCs w:val="24"/>
              </w:rPr>
              <w:t>速率</w:t>
            </w:r>
            <w:r>
              <w:rPr>
                <w:rFonts w:ascii="Times New Roman" w:hAnsi="Times New Roman"/>
                <w:sz w:val="24"/>
                <w:szCs w:val="24"/>
              </w:rPr>
              <w:t>为</w:t>
            </w:r>
            <w:r>
              <w:rPr>
                <w:rFonts w:hint="eastAsia" w:ascii="Times New Roman" w:hAnsi="Times New Roman"/>
                <w:sz w:val="24"/>
                <w:szCs w:val="24"/>
                <w:lang w:val="en-US" w:eastAsia="zh-CN"/>
              </w:rPr>
              <w:t>0.15</w:t>
            </w:r>
            <w:r>
              <w:rPr>
                <w:rFonts w:ascii="Times New Roman" w:hAnsi="Times New Roman"/>
                <w:sz w:val="24"/>
                <w:szCs w:val="24"/>
              </w:rPr>
              <w:t>kg/h，排放</w:t>
            </w:r>
            <w:r>
              <w:rPr>
                <w:rFonts w:ascii="Times New Roman" w:hAnsi="Times New Roman"/>
                <w:sz w:val="24"/>
                <w:szCs w:val="24"/>
                <w:highlight w:val="none"/>
              </w:rPr>
              <w:t>浓度为</w:t>
            </w:r>
            <w:r>
              <w:rPr>
                <w:rFonts w:hint="eastAsia" w:ascii="Times New Roman" w:hAnsi="Times New Roman"/>
                <w:sz w:val="24"/>
                <w:szCs w:val="24"/>
                <w:highlight w:val="none"/>
                <w:lang w:val="en-US" w:eastAsia="zh-CN"/>
              </w:rPr>
              <w:t>56.09</w:t>
            </w:r>
            <w:r>
              <w:rPr>
                <w:rFonts w:ascii="Times New Roman" w:hAnsi="Times New Roman"/>
                <w:sz w:val="24"/>
                <w:szCs w:val="24"/>
                <w:highlight w:val="none"/>
              </w:rPr>
              <w:t>mg/m</w:t>
            </w:r>
            <w:r>
              <w:rPr>
                <w:rFonts w:ascii="Times New Roman" w:hAnsi="Times New Roman"/>
                <w:sz w:val="24"/>
                <w:szCs w:val="24"/>
                <w:highlight w:val="none"/>
                <w:vertAlign w:val="superscript"/>
              </w:rPr>
              <w:t>3</w:t>
            </w:r>
            <w:r>
              <w:rPr>
                <w:rFonts w:ascii="Times New Roman" w:hAnsi="Times New Roman"/>
                <w:sz w:val="24"/>
                <w:szCs w:val="24"/>
                <w:highlight w:val="none"/>
              </w:rPr>
              <w:t>，超过了</w:t>
            </w:r>
            <w:r>
              <w:rPr>
                <w:rFonts w:hint="default" w:ascii="Times New Roman" w:hAnsi="Times New Roman" w:eastAsia="宋体" w:cs="Times New Roman"/>
                <w:b w:val="0"/>
                <w:bCs/>
                <w:color w:val="000000"/>
                <w:kern w:val="2"/>
                <w:sz w:val="24"/>
                <w:szCs w:val="24"/>
                <w:highlight w:val="none"/>
                <w:lang w:val="en-US" w:eastAsia="zh-CN" w:bidi="ar-SA"/>
              </w:rPr>
              <w:t>《锅炉大气污染物排放标准》（GB 13271-2014）</w:t>
            </w:r>
            <w:r>
              <w:rPr>
                <w:rFonts w:ascii="Times New Roman" w:hAnsi="Times New Roman"/>
                <w:sz w:val="24"/>
                <w:szCs w:val="24"/>
                <w:highlight w:val="none"/>
              </w:rPr>
              <w:t>表2中颗粒物的限值标准；SO</w:t>
            </w:r>
            <w:r>
              <w:rPr>
                <w:rFonts w:ascii="Times New Roman" w:hAnsi="Times New Roman"/>
                <w:sz w:val="24"/>
                <w:szCs w:val="24"/>
                <w:highlight w:val="none"/>
                <w:vertAlign w:val="subscript"/>
              </w:rPr>
              <w:t>2</w:t>
            </w:r>
            <w:r>
              <w:rPr>
                <w:rFonts w:hint="eastAsia" w:ascii="Times New Roman" w:hAnsi="Times New Roman"/>
                <w:sz w:val="24"/>
                <w:szCs w:val="24"/>
                <w:highlight w:val="none"/>
                <w:vertAlign w:val="subscript"/>
                <w:lang w:eastAsia="zh-CN"/>
              </w:rPr>
              <w:t>、</w:t>
            </w:r>
            <w:r>
              <w:rPr>
                <w:rFonts w:hint="eastAsia" w:ascii="Times New Roman" w:hAnsi="Times New Roman"/>
                <w:sz w:val="24"/>
                <w:szCs w:val="24"/>
                <w:highlight w:val="none"/>
                <w:vertAlign w:val="baseline"/>
                <w:lang w:val="en-US" w:eastAsia="zh-CN"/>
              </w:rPr>
              <w:t>NO</w:t>
            </w:r>
            <w:r>
              <w:rPr>
                <w:rFonts w:hint="eastAsia" w:ascii="Times New Roman" w:hAnsi="Times New Roman"/>
                <w:sz w:val="24"/>
                <w:szCs w:val="24"/>
                <w:highlight w:val="none"/>
                <w:vertAlign w:val="subscript"/>
                <w:lang w:val="en-US" w:eastAsia="zh-CN"/>
              </w:rPr>
              <w:t>X</w:t>
            </w:r>
            <w:r>
              <w:rPr>
                <w:rFonts w:ascii="Times New Roman" w:hAnsi="Times New Roman"/>
                <w:sz w:val="24"/>
                <w:szCs w:val="24"/>
                <w:highlight w:val="none"/>
              </w:rPr>
              <w:t>在非正常工况下的排放浓度，</w:t>
            </w:r>
            <w:r>
              <w:rPr>
                <w:rFonts w:hint="eastAsia" w:ascii="Times New Roman" w:hAnsi="Times New Roman" w:eastAsia="宋体" w:cs="Times New Roman"/>
                <w:b w:val="0"/>
                <w:bCs w:val="0"/>
                <w:caps w:val="0"/>
                <w:smallCaps w:val="0"/>
                <w:color w:val="auto"/>
                <w:spacing w:val="0"/>
                <w:w w:val="100"/>
                <w:position w:val="0"/>
                <w:sz w:val="24"/>
                <w:szCs w:val="24"/>
                <w:highlight w:val="none"/>
                <w:lang w:val="en-US" w:eastAsia="zh-CN" w:bidi="ar-SA"/>
              </w:rPr>
              <w:t>满足</w:t>
            </w:r>
            <w:r>
              <w:rPr>
                <w:rFonts w:hint="default" w:ascii="Times New Roman" w:hAnsi="Times New Roman" w:eastAsia="宋体" w:cs="Times New Roman"/>
                <w:b w:val="0"/>
                <w:bCs/>
                <w:color w:val="000000"/>
                <w:kern w:val="2"/>
                <w:sz w:val="24"/>
                <w:szCs w:val="24"/>
                <w:highlight w:val="none"/>
                <w:lang w:val="en-US" w:eastAsia="zh-CN" w:bidi="ar-SA"/>
              </w:rPr>
              <w:t>《锅炉大气污染物</w:t>
            </w:r>
            <w:r>
              <w:rPr>
                <w:rFonts w:hint="default" w:ascii="Times New Roman" w:hAnsi="Times New Roman" w:eastAsia="宋体" w:cs="Times New Roman"/>
                <w:b w:val="0"/>
                <w:bCs/>
                <w:color w:val="000000"/>
                <w:kern w:val="2"/>
                <w:sz w:val="24"/>
                <w:szCs w:val="24"/>
                <w:lang w:val="en-US" w:eastAsia="zh-CN" w:bidi="ar-SA"/>
              </w:rPr>
              <w:t>排放标准》（GB 13271-2014）中表 2 大气污染物排放限值</w:t>
            </w:r>
            <w:r>
              <w:rPr>
                <w:rFonts w:hint="eastAsia" w:ascii="Times New Roman" w:hAnsi="Times New Roman" w:eastAsia="宋体" w:cs="Times New Roman"/>
                <w:b w:val="0"/>
                <w:bCs/>
                <w:color w:val="000000"/>
                <w:kern w:val="2"/>
                <w:sz w:val="24"/>
                <w:szCs w:val="24"/>
                <w:lang w:val="en-US" w:eastAsia="zh-CN" w:bidi="ar-SA"/>
              </w:rPr>
              <w:t>要</w:t>
            </w:r>
            <w:r>
              <w:rPr>
                <w:rFonts w:hint="eastAsia" w:ascii="Times New Roman" w:hAnsi="Times New Roman" w:eastAsia="宋体" w:cs="Times New Roman"/>
                <w:b w:val="0"/>
                <w:bCs/>
                <w:color w:val="000000"/>
                <w:kern w:val="2"/>
                <w:sz w:val="24"/>
                <w:szCs w:val="24"/>
                <w:highlight w:val="none"/>
                <w:lang w:val="en-US" w:eastAsia="zh-CN" w:bidi="ar-SA"/>
              </w:rPr>
              <w:t>求</w:t>
            </w:r>
            <w:r>
              <w:rPr>
                <w:rFonts w:ascii="Times New Roman" w:hAnsi="Times New Roman"/>
                <w:sz w:val="24"/>
                <w:szCs w:val="24"/>
                <w:highlight w:val="none"/>
              </w:rPr>
              <w:t>。</w:t>
            </w:r>
          </w:p>
          <w:p>
            <w:pPr>
              <w:adjustRightInd w:val="0"/>
              <w:snapToGrid w:val="0"/>
              <w:spacing w:line="360" w:lineRule="auto"/>
              <w:ind w:firstLine="480" w:firstLineChars="200"/>
              <w:rPr>
                <w:rFonts w:ascii="宋体" w:hAnsi="宋体" w:eastAsia="宋体" w:cs="宋体"/>
                <w:sz w:val="24"/>
                <w:szCs w:val="24"/>
              </w:rPr>
            </w:pPr>
            <w:r>
              <w:rPr>
                <w:rFonts w:ascii="Times New Roman" w:hAnsi="Times New Roman"/>
                <w:sz w:val="24"/>
                <w:szCs w:val="24"/>
              </w:rPr>
              <w:t>如突然发现排放浓度异常，应立即停产并组织工作人员对设备进行</w:t>
            </w:r>
            <w:r>
              <w:rPr>
                <w:rFonts w:hint="eastAsia" w:ascii="Times New Roman" w:hAnsi="Times New Roman"/>
                <w:sz w:val="24"/>
                <w:szCs w:val="24"/>
                <w:lang w:eastAsia="zh-CN"/>
              </w:rPr>
              <w:t>检查和</w:t>
            </w:r>
            <w:r>
              <w:rPr>
                <w:rFonts w:ascii="Times New Roman" w:hAnsi="Times New Roman"/>
                <w:sz w:val="24"/>
                <w:szCs w:val="24"/>
              </w:rPr>
              <w:t>维修，并在检修过后总结设备非正常工作原因，防止此类事件再次发生。</w:t>
            </w:r>
            <w:r>
              <w:rPr>
                <w:rFonts w:ascii="宋体" w:hAnsi="宋体" w:eastAsia="宋体" w:cs="宋体"/>
                <w:sz w:val="24"/>
                <w:szCs w:val="24"/>
              </w:rPr>
              <w:t>例如锅炉起炉时初始浓度较高，配套 处理设施不能有效处理，将造成短暂超标，锅炉负荷低于正常燃烧的最低有效负荷，将造成炉温低、不能充分燃烧、超标排放等不正常的情况。企业应安排专门的锅炉技术人员及其他设备的维护人员，加强设备的维护，确保设备处于良好的运转状态，杜绝设备不正常运转时产生的污染物超标现象。</w:t>
            </w:r>
          </w:p>
          <w:p>
            <w:pPr>
              <w:widowControl/>
              <w:adjustRightInd w:val="0"/>
              <w:snapToGrid w:val="0"/>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）监测要求</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对照生态环境部印发的《重点排污单位名录管理规定（试行）》和当地生态环境主管部门发布的重点排污单位名录，本单位属于非重点排污单位，根据《排污单位自行监测技术指南 总则》（HJ819-2017）</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排污单位自行监测技术指南 </w:t>
            </w:r>
            <w:r>
              <w:rPr>
                <w:rFonts w:hint="eastAsia" w:ascii="Times New Roman" w:hAnsi="Times New Roman" w:eastAsia="宋体" w:cs="Times New Roman"/>
                <w:color w:val="000000" w:themeColor="text1"/>
                <w:sz w:val="24"/>
                <w:lang w:val="en-US" w:eastAsia="zh-CN"/>
                <w14:textFill>
                  <w14:solidFill>
                    <w14:schemeClr w14:val="tx1"/>
                  </w14:solidFill>
                </w14:textFill>
              </w:rPr>
              <w:t>火力发电及锅炉</w:t>
            </w:r>
            <w:r>
              <w:rPr>
                <w:rFonts w:hint="default" w:ascii="Times New Roman" w:hAnsi="Times New Roman" w:eastAsia="宋体" w:cs="Times New Roman"/>
                <w:color w:val="000000" w:themeColor="text1"/>
                <w:sz w:val="24"/>
                <w14:textFill>
                  <w14:solidFill>
                    <w14:schemeClr w14:val="tx1"/>
                  </w14:solidFill>
                </w14:textFill>
              </w:rPr>
              <w:t>》（HJ</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lang w:val="en-US" w:eastAsia="zh-CN"/>
                <w14:textFill>
                  <w14:solidFill>
                    <w14:schemeClr w14:val="tx1"/>
                  </w14:solidFill>
                </w14:textFill>
              </w:rPr>
              <w:t>820</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14:textFill>
                  <w14:solidFill>
                    <w14:schemeClr w14:val="tx1"/>
                  </w14:solidFill>
                </w14:textFill>
              </w:rPr>
              <w:t xml:space="preserve">排污单位自行监测技术指南 </w:t>
            </w:r>
            <w:r>
              <w:rPr>
                <w:rFonts w:hint="default" w:ascii="Times New Roman" w:hAnsi="Times New Roman" w:eastAsia="宋体" w:cs="Times New Roman"/>
                <w:color w:val="000000" w:themeColor="text1"/>
                <w:sz w:val="24"/>
                <w:lang w:val="en-US" w:eastAsia="zh-CN"/>
                <w14:textFill>
                  <w14:solidFill>
                    <w14:schemeClr w14:val="tx1"/>
                  </w14:solidFill>
                </w14:textFill>
              </w:rPr>
              <w:t>食品制造</w:t>
            </w:r>
            <w:r>
              <w:rPr>
                <w:rFonts w:hint="default" w:ascii="Times New Roman" w:hAnsi="Times New Roman" w:eastAsia="宋体" w:cs="Times New Roman"/>
                <w:color w:val="000000" w:themeColor="text1"/>
                <w:sz w:val="24"/>
                <w14:textFill>
                  <w14:solidFill>
                    <w14:schemeClr w14:val="tx1"/>
                  </w14:solidFill>
                </w14:textFill>
              </w:rPr>
              <w:t>》（HJ</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1084-2020</w:t>
            </w:r>
            <w:r>
              <w:rPr>
                <w:rFonts w:hint="default" w:ascii="Times New Roman" w:hAnsi="Times New Roman" w:eastAsia="宋体" w:cs="Times New Roman"/>
                <w:color w:val="000000" w:themeColor="text1"/>
                <w:sz w:val="24"/>
                <w14:textFill>
                  <w14:solidFill>
                    <w14:schemeClr w14:val="tx1"/>
                  </w14:solidFill>
                </w14:textFill>
              </w:rPr>
              <w:t>），自行监测计划见下表。</w:t>
            </w:r>
          </w:p>
          <w:p>
            <w:pPr>
              <w:tabs>
                <w:tab w:val="left" w:pos="420"/>
                <w:tab w:val="left" w:pos="630"/>
              </w:tabs>
              <w:ind w:left="902"/>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表4-</w:t>
            </w: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 xml:space="preserve">   项目废气污染源自行监测计划一览表</w:t>
            </w:r>
          </w:p>
          <w:tbl>
            <w:tblPr>
              <w:tblStyle w:val="3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438"/>
              <w:gridCol w:w="4056"/>
              <w:gridCol w:w="1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6"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监测点位</w:t>
                  </w:r>
                </w:p>
              </w:tc>
              <w:tc>
                <w:tcPr>
                  <w:tcW w:w="2472"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监测因子</w:t>
                  </w:r>
                </w:p>
              </w:tc>
              <w:tc>
                <w:tcPr>
                  <w:tcW w:w="1041"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6"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DA001排气筒出口</w:t>
                  </w:r>
                </w:p>
              </w:tc>
              <w:tc>
                <w:tcPr>
                  <w:tcW w:w="2472"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颗粒物、SO</w:t>
                  </w:r>
                  <w:r>
                    <w:rPr>
                      <w:rFonts w:hint="default" w:ascii="Times New Roman" w:hAnsi="Times New Roman" w:eastAsia="宋体" w:cs="Times New Roman"/>
                      <w:color w:val="000000" w:themeColor="text1"/>
                      <w:kern w:val="0"/>
                      <w:szCs w:val="21"/>
                      <w:vertAlign w:val="subscript"/>
                      <w14:textFill>
                        <w14:solidFill>
                          <w14:schemeClr w14:val="tx1"/>
                        </w14:solidFill>
                      </w14:textFill>
                    </w:rPr>
                    <w:t>2</w:t>
                  </w:r>
                  <w:r>
                    <w:rPr>
                      <w:rFonts w:hint="default" w:ascii="Times New Roman" w:hAnsi="Times New Roman" w:eastAsia="宋体" w:cs="Times New Roman"/>
                      <w:color w:val="000000" w:themeColor="text1"/>
                      <w:kern w:val="0"/>
                      <w:szCs w:val="21"/>
                      <w14:textFill>
                        <w14:solidFill>
                          <w14:schemeClr w14:val="tx1"/>
                        </w14:solidFill>
                      </w14:textFill>
                    </w:rPr>
                    <w:t>、NO</w:t>
                  </w:r>
                  <w:r>
                    <w:rPr>
                      <w:rFonts w:hint="default" w:ascii="Times New Roman" w:hAnsi="Times New Roman" w:eastAsia="宋体" w:cs="Times New Roman"/>
                      <w:color w:val="000000" w:themeColor="text1"/>
                      <w:kern w:val="0"/>
                      <w:szCs w:val="21"/>
                      <w:vertAlign w:val="subscript"/>
                      <w14:textFill>
                        <w14:solidFill>
                          <w14:schemeClr w14:val="tx1"/>
                        </w14:solidFill>
                      </w14:textFill>
                    </w:rPr>
                    <w:t>x</w:t>
                  </w:r>
                  <w:r>
                    <w:rPr>
                      <w:rStyle w:val="40"/>
                      <w:rFonts w:hint="default" w:ascii="Times New Roman" w:hAnsi="Times New Roman" w:eastAsia="宋体" w:cs="Times New Roman"/>
                      <w:color w:val="000000" w:themeColor="text1"/>
                      <w:kern w:val="0"/>
                      <w:szCs w:val="20"/>
                      <w14:textFill>
                        <w14:solidFill>
                          <w14:schemeClr w14:val="tx1"/>
                        </w14:solidFill>
                      </w14:textFill>
                    </w:rPr>
                    <w:t>、格林曼黑度</w:t>
                  </w:r>
                </w:p>
              </w:tc>
              <w:tc>
                <w:tcPr>
                  <w:tcW w:w="1041"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1次/</w:t>
                  </w:r>
                  <w:r>
                    <w:rPr>
                      <w:rFonts w:hint="eastAsia" w:cs="Times New Roman"/>
                      <w:color w:val="000000" w:themeColor="text1"/>
                      <w:kern w:val="0"/>
                      <w:szCs w:val="21"/>
                      <w:lang w:val="en-US" w:eastAsia="zh-CN"/>
                      <w14:textFill>
                        <w14:solidFill>
                          <w14:schemeClr w14:val="tx1"/>
                        </w14:solidFill>
                      </w14:textFill>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6" w:type="pct"/>
                  <w:vAlign w:val="center"/>
                </w:tcPr>
                <w:p>
                  <w:pPr>
                    <w:adjustRightInd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厂界</w:t>
                  </w:r>
                </w:p>
              </w:tc>
              <w:tc>
                <w:tcPr>
                  <w:tcW w:w="2472"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颗粒物</w:t>
                  </w:r>
                </w:p>
              </w:tc>
              <w:tc>
                <w:tcPr>
                  <w:tcW w:w="1041" w:type="pct"/>
                  <w:vAlign w:val="center"/>
                </w:tcPr>
                <w:p>
                  <w:pPr>
                    <w:adjustRightIn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1次/季度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6"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厂界无组织监控点</w:t>
                  </w:r>
                </w:p>
              </w:tc>
              <w:tc>
                <w:tcPr>
                  <w:tcW w:w="2472" w:type="pct"/>
                  <w:vAlign w:val="center"/>
                </w:tcPr>
                <w:p>
                  <w:pPr>
                    <w:adjustRightIn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硫化氢、氨气</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臭气浓度</w:t>
                  </w:r>
                </w:p>
              </w:tc>
              <w:tc>
                <w:tcPr>
                  <w:tcW w:w="1041"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1次/</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半</w:t>
                  </w:r>
                  <w:r>
                    <w:rPr>
                      <w:rFonts w:hint="default" w:ascii="Times New Roman" w:hAnsi="Times New Roman" w:eastAsia="宋体" w:cs="Times New Roman"/>
                      <w:color w:val="000000" w:themeColor="text1"/>
                      <w:kern w:val="0"/>
                      <w:szCs w:val="21"/>
                      <w14:textFill>
                        <w14:solidFill>
                          <w14:schemeClr w14:val="tx1"/>
                        </w14:solidFill>
                      </w14:textFill>
                    </w:rPr>
                    <w:t>年</w:t>
                  </w:r>
                </w:p>
              </w:tc>
            </w:tr>
          </w:tbl>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eastAsia" w:cs="Times New Roman"/>
                <w:b/>
                <w:color w:val="000000" w:themeColor="text1"/>
                <w:sz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14:textFill>
                  <w14:solidFill>
                    <w14:schemeClr w14:val="tx1"/>
                  </w14:solidFill>
                </w14:textFill>
              </w:rPr>
              <w:t>）大气环境影响评价小结</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本项目燃料燃烧废气经</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旋风除尘+袋式除尘”</w:t>
            </w:r>
            <w:r>
              <w:rPr>
                <w:rFonts w:hint="default" w:ascii="Times New Roman" w:hAnsi="Times New Roman" w:eastAsia="宋体" w:cs="Times New Roman"/>
                <w:color w:val="000000" w:themeColor="text1"/>
                <w:sz w:val="24"/>
                <w14:textFill>
                  <w14:solidFill>
                    <w14:schemeClr w14:val="tx1"/>
                  </w14:solidFill>
                </w14:textFill>
              </w:rPr>
              <w:t>设施处理后排放情况能够满足</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标准5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《锅炉大气污染物排放标准》（GB13271-2014）表</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的排放标准</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要求；投料粉尘</w:t>
            </w:r>
            <w:r>
              <w:rPr>
                <w:rFonts w:hint="default" w:ascii="Times New Roman" w:hAnsi="Times New Roman" w:eastAsia="宋体" w:cs="Times New Roman"/>
                <w:color w:val="000000" w:themeColor="text1"/>
                <w:sz w:val="24"/>
                <w:lang w:val="en-US" w:eastAsia="zh-CN"/>
                <w14:textFill>
                  <w14:solidFill>
                    <w14:schemeClr w14:val="tx1"/>
                  </w14:solidFill>
                </w14:textFill>
              </w:rPr>
              <w:t>经加强车间通风后以</w:t>
            </w:r>
            <w:r>
              <w:rPr>
                <w:rFonts w:hint="default" w:ascii="Times New Roman" w:hAnsi="Times New Roman" w:eastAsia="宋体" w:cs="Times New Roman"/>
                <w:color w:val="000000" w:themeColor="text1"/>
                <w:kern w:val="0"/>
                <w:sz w:val="24"/>
                <w14:textFill>
                  <w14:solidFill>
                    <w14:schemeClr w14:val="tx1"/>
                  </w14:solidFill>
                </w14:textFill>
              </w:rPr>
              <w:t>无组织排放</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排放量少，且</w:t>
            </w:r>
            <w:r>
              <w:rPr>
                <w:rFonts w:hint="default" w:ascii="Times New Roman" w:hAnsi="Times New Roman" w:eastAsia="宋体" w:cs="Times New Roman"/>
                <w:color w:val="000000" w:themeColor="text1"/>
                <w:kern w:val="0"/>
                <w:sz w:val="24"/>
                <w14:textFill>
                  <w14:solidFill>
                    <w14:schemeClr w14:val="tx1"/>
                  </w14:solidFill>
                </w14:textFill>
              </w:rPr>
              <w:t>能够达到《大气污染物综合排放标准》（GB16297-1996）中表2的无组织排放浓度限值标准要求；生产车间异味、</w:t>
            </w:r>
            <w:r>
              <w:rPr>
                <w:rFonts w:hint="default" w:ascii="Times New Roman" w:hAnsi="Times New Roman" w:eastAsia="宋体" w:cs="Times New Roman"/>
                <w:color w:val="000000" w:themeColor="text1"/>
                <w:sz w:val="24"/>
                <w14:textFill>
                  <w14:solidFill>
                    <w14:schemeClr w14:val="tx1"/>
                  </w14:solidFill>
                </w14:textFill>
              </w:rPr>
              <w:t>污水处理系统恶臭废气</w:t>
            </w:r>
            <w:r>
              <w:rPr>
                <w:rFonts w:hint="eastAsia" w:cs="Times New Roman"/>
                <w:color w:val="000000" w:themeColor="text1"/>
                <w:sz w:val="24"/>
                <w:lang w:eastAsia="zh-CN"/>
                <w14:textFill>
                  <w14:solidFill>
                    <w14:schemeClr w14:val="tx1"/>
                  </w14:solidFill>
                </w14:textFill>
              </w:rPr>
              <w:t>，</w:t>
            </w:r>
            <w:r>
              <w:rPr>
                <w:rFonts w:hint="eastAsia"/>
                <w:sz w:val="24"/>
              </w:rPr>
              <w:t>定期对污水处理站及周边喷洒除臭剂，加强管理，可有效防止恶臭气体逸散，采取措施后厂界恶臭污染物满足</w:t>
            </w:r>
            <w:r>
              <w:rPr>
                <w:rFonts w:hint="eastAsia"/>
                <w:sz w:val="24"/>
                <w:highlight w:val="none"/>
              </w:rPr>
              <w:t>《恶臭污染物排放标准》（GB14554-93）</w:t>
            </w:r>
            <w:r>
              <w:rPr>
                <w:rFonts w:hint="eastAsia"/>
                <w:sz w:val="24"/>
              </w:rPr>
              <w:t>表1中二级标准</w:t>
            </w:r>
            <w:r>
              <w:rPr>
                <w:rFonts w:hint="default" w:ascii="Times New Roman" w:hAnsi="Times New Roman" w:eastAsia="宋体" w:cs="Times New Roman"/>
                <w:color w:val="000000" w:themeColor="text1"/>
                <w:sz w:val="24"/>
                <w14:textFill>
                  <w14:solidFill>
                    <w14:schemeClr w14:val="tx1"/>
                  </w14:solidFill>
                </w14:textFill>
              </w:rPr>
              <w:t>。项目投产后各车间设备正常运转，环保处理设施正常运行，项目废气对周边环境和环境保护目标影响较小，评价区域内环境空气质量能够维持二级标准要求，项目产生的大气环境影响是可以接受的。</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2、水环境影响和保护措施分析</w:t>
            </w:r>
          </w:p>
          <w:p>
            <w:pPr>
              <w:spacing w:line="360" w:lineRule="auto"/>
              <w:ind w:firstLine="528"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本项目营运期废水</w:t>
            </w: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pacing w:val="12"/>
                <w:sz w:val="24"/>
                <w:szCs w:val="24"/>
                <w14:textFill>
                  <w14:solidFill>
                    <w14:schemeClr w14:val="tx1"/>
                  </w14:solidFill>
                </w14:textFill>
              </w:rPr>
              <w:t>为生活污水、</w:t>
            </w: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生产废水（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包括清洗</w:t>
            </w:r>
            <w:r>
              <w:rPr>
                <w:rFonts w:hint="default" w:ascii="Times New Roman" w:hAnsi="Times New Roman" w:eastAsia="宋体" w:cs="Times New Roman"/>
                <w:color w:val="000000" w:themeColor="text1"/>
                <w:spacing w:val="4"/>
                <w:sz w:val="24"/>
                <w:u w:val="none" w:color="auto"/>
                <w14:textFill>
                  <w14:solidFill>
                    <w14:schemeClr w14:val="tx1"/>
                  </w14:solidFill>
                </w14:textFill>
              </w:rPr>
              <w:t>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设备冲洗废水和</w:t>
            </w:r>
            <w:r>
              <w:rPr>
                <w:rFonts w:hint="default" w:ascii="Times New Roman" w:hAnsi="Times New Roman" w:eastAsia="宋体" w:cs="Times New Roman"/>
                <w:color w:val="000000" w:themeColor="text1"/>
                <w:spacing w:val="4"/>
                <w:sz w:val="24"/>
                <w:u w:val="none" w:color="auto"/>
                <w14:textFill>
                  <w14:solidFill>
                    <w14:schemeClr w14:val="tx1"/>
                  </w14:solidFill>
                </w14:textFill>
              </w:rPr>
              <w:t>车间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保洁</w:t>
            </w:r>
            <w:r>
              <w:rPr>
                <w:rFonts w:hint="default" w:ascii="Times New Roman" w:hAnsi="Times New Roman" w:eastAsia="宋体" w:cs="Times New Roman"/>
                <w:color w:val="000000" w:themeColor="text1"/>
                <w:spacing w:val="4"/>
                <w:sz w:val="24"/>
                <w:u w:val="none" w:color="auto"/>
                <w14:textFill>
                  <w14:solidFill>
                    <w14:schemeClr w14:val="tx1"/>
                  </w14:solidFill>
                </w14:textFill>
              </w:rPr>
              <w:t>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）和软水制备器反冲洗浓水</w:t>
            </w:r>
            <w:r>
              <w:rPr>
                <w:rFonts w:hint="default" w:ascii="Times New Roman" w:hAnsi="Times New Roman" w:eastAsia="宋体" w:cs="Times New Roman"/>
                <w:color w:val="000000" w:themeColor="text1"/>
                <w:spacing w:val="12"/>
                <w:sz w:val="24"/>
                <w:szCs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（1）废水源强</w:t>
            </w:r>
            <w:r>
              <w:rPr>
                <w:rFonts w:hint="default" w:ascii="Times New Roman" w:hAnsi="Times New Roman" w:eastAsia="宋体" w:cs="Times New Roman"/>
                <w:b/>
                <w:bCs/>
                <w:color w:val="000000" w:themeColor="text1"/>
                <w:sz w:val="24"/>
                <w:lang w:val="en-US" w:eastAsia="zh-CN"/>
                <w14:textFill>
                  <w14:solidFill>
                    <w14:schemeClr w14:val="tx1"/>
                  </w14:solidFill>
                </w14:textFill>
              </w:rPr>
              <w:t>核算</w:t>
            </w:r>
          </w:p>
          <w:p>
            <w:pPr>
              <w:spacing w:line="360" w:lineRule="auto"/>
              <w:ind w:firstLine="496" w:firstLineChars="200"/>
              <w:rPr>
                <w:rFonts w:hint="default" w:ascii="Times New Roman" w:hAnsi="Times New Roman" w:eastAsia="宋体" w:cs="Times New Roman"/>
                <w:color w:val="000000" w:themeColor="text1"/>
                <w:spacing w:val="4"/>
                <w:sz w:val="24"/>
                <w:u w:val="none" w:color="auto"/>
                <w14:textFill>
                  <w14:solidFill>
                    <w14:schemeClr w14:val="tx1"/>
                  </w14:solidFill>
                </w14:textFill>
              </w:rPr>
            </w:pPr>
            <w:r>
              <w:rPr>
                <w:rFonts w:hint="default" w:ascii="Times New Roman" w:hAnsi="Times New Roman" w:eastAsia="宋体" w:cs="Times New Roman"/>
                <w:color w:val="000000" w:themeColor="text1"/>
                <w:spacing w:val="4"/>
                <w:sz w:val="24"/>
                <w:u w:val="none" w:color="auto"/>
                <w14:textFill>
                  <w14:solidFill>
                    <w14:schemeClr w14:val="tx1"/>
                  </w14:solidFill>
                </w14:textFill>
              </w:rPr>
              <w:t>本项目</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用水单位主要为生活用水、生产用水和绿化用水</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其中生产用水包括：洗米用水、泡米用水、和浆用水、设备冲洗用水、锅炉蒸汽用水、地面保洁用水和软水制备器反冲洗用水。项目总用水量</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pacing w:val="4"/>
                <w:sz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4"/>
                <w:u w:val="none" w:color="auto"/>
                <w:lang w:val="en-US" w:eastAsia="zh-CN"/>
                <w14:textFill>
                  <w14:solidFill>
                    <w14:schemeClr w14:val="tx1"/>
                  </w14:solidFill>
                </w14:textFill>
              </w:rPr>
              <w:t>表2-6  项目给水明细表</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427"/>
              <w:gridCol w:w="441"/>
              <w:gridCol w:w="1108"/>
              <w:gridCol w:w="1156"/>
              <w:gridCol w:w="1352"/>
              <w:gridCol w:w="931"/>
              <w:gridCol w:w="91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序号</w:t>
                  </w:r>
                </w:p>
              </w:tc>
              <w:tc>
                <w:tcPr>
                  <w:tcW w:w="1973" w:type="dxa"/>
                  <w:gridSpan w:val="3"/>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用水</w:t>
                  </w:r>
                  <w: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t>项目</w:t>
                  </w:r>
                </w:p>
              </w:tc>
              <w:tc>
                <w:tcPr>
                  <w:tcW w:w="1155"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t>用水规模</w:t>
                  </w:r>
                </w:p>
              </w:tc>
              <w:tc>
                <w:tcPr>
                  <w:tcW w:w="1350"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最大</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用水</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定额</w:t>
                  </w:r>
                </w:p>
              </w:tc>
              <w:tc>
                <w:tcPr>
                  <w:tcW w:w="930"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使用时间</w:t>
                  </w: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p>
              </w:tc>
              <w:tc>
                <w:tcPr>
                  <w:tcW w:w="1973" w:type="dxa"/>
                  <w:gridSpan w:val="3"/>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p>
              </w:tc>
              <w:tc>
                <w:tcPr>
                  <w:tcW w:w="1155"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p>
              </w:tc>
              <w:tc>
                <w:tcPr>
                  <w:tcW w:w="1350"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p>
              </w:tc>
              <w:tc>
                <w:tcPr>
                  <w:tcW w:w="930"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t>日</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用水量m</w:t>
                  </w:r>
                  <w:r>
                    <w:rPr>
                      <w:rFonts w:hint="default" w:ascii="Times New Roman" w:hAnsi="Times New Roman" w:eastAsia="宋体" w:cs="Times New Roman"/>
                      <w:b/>
                      <w:bCs/>
                      <w:color w:val="000000" w:themeColor="text1"/>
                      <w:sz w:val="21"/>
                      <w:szCs w:val="21"/>
                      <w:u w:val="none" w:color="auto"/>
                      <w:vertAlign w:val="superscript"/>
                      <w14:textFill>
                        <w14:solidFill>
                          <w14:schemeClr w14:val="tx1"/>
                        </w14:solidFill>
                      </w14:textFill>
                    </w:rPr>
                    <w:t>3</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年用水量m</w:t>
                  </w:r>
                  <w:r>
                    <w:rPr>
                      <w:rFonts w:hint="default" w:ascii="Times New Roman" w:hAnsi="Times New Roman" w:eastAsia="宋体" w:cs="Times New Roman"/>
                      <w:b/>
                      <w:bCs/>
                      <w:color w:val="000000" w:themeColor="text1"/>
                      <w:sz w:val="21"/>
                      <w:szCs w:val="21"/>
                      <w:u w:val="none" w:color="auto"/>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1</w:t>
                  </w:r>
                </w:p>
              </w:tc>
              <w:tc>
                <w:tcPr>
                  <w:tcW w:w="866"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职工生活用水</w:t>
                  </w:r>
                </w:p>
              </w:tc>
              <w:tc>
                <w:tcPr>
                  <w:tcW w:w="110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仓库</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u w:val="none" w:color="auto"/>
                      <w14:textFill>
                        <w14:solidFill>
                          <w14:schemeClr w14:val="tx1"/>
                        </w14:solidFill>
                      </w14:textFill>
                    </w:rPr>
                    <w:t>人</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u w:val="none" w:color="auto"/>
                      <w14:textFill>
                        <w14:solidFill>
                          <w14:schemeClr w14:val="tx1"/>
                        </w14:solidFill>
                      </w14:textFill>
                    </w:rPr>
                    <w:t>L/人·d</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1.5</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866"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10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厂房</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u w:val="none" w:color="auto"/>
                      <w14:textFill>
                        <w14:solidFill>
                          <w14:schemeClr w14:val="tx1"/>
                        </w14:solidFill>
                      </w14:textFill>
                    </w:rPr>
                    <w:t>人</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u w:val="none" w:color="auto"/>
                      <w14:textFill>
                        <w14:solidFill>
                          <w14:schemeClr w14:val="tx1"/>
                        </w14:solidFill>
                      </w14:textFill>
                    </w:rPr>
                    <w:t>L/人·d</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866"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10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综合楼</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30人</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u w:val="none" w:color="auto"/>
                      <w14:textFill>
                        <w14:solidFill>
                          <w14:schemeClr w14:val="tx1"/>
                        </w14:solidFill>
                      </w14:textFill>
                    </w:rPr>
                    <w:t>L/人·d</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6</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866"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小计</w:t>
                  </w:r>
                </w:p>
              </w:tc>
              <w:tc>
                <w:tcPr>
                  <w:tcW w:w="110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120人</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10.5</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w:t>
                  </w:r>
                </w:p>
              </w:tc>
              <w:tc>
                <w:tcPr>
                  <w:tcW w:w="1973" w:type="dxa"/>
                  <w:gridSpan w:val="3"/>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米粉加工用水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5100</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t</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/t</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81600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2</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w:t>
                  </w:r>
                </w:p>
              </w:tc>
              <w:tc>
                <w:tcPr>
                  <w:tcW w:w="426"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米粉加工用水包含</w:t>
                  </w: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洗米和泡米用水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5100</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t大米</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w:t>
                  </w:r>
                  <w:r>
                    <w:rPr>
                      <w:rFonts w:hint="eastAsia" w:cs="Times New Roman"/>
                      <w:color w:val="000000" w:themeColor="text1"/>
                      <w:sz w:val="21"/>
                      <w:szCs w:val="21"/>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/t.大米</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42.5</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2.2</w:t>
                  </w:r>
                </w:p>
              </w:tc>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和浆用水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4.83</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/d</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4.83</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2.3</w:t>
                  </w:r>
                </w:p>
              </w:tc>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设备清洗用水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/d</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2</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2.4</w:t>
                  </w:r>
                </w:p>
              </w:tc>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锅炉蒸汽用水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/d</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/h</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300天</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16</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2.5</w:t>
                  </w:r>
                </w:p>
              </w:tc>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地面</w:t>
                  </w:r>
                  <w:r>
                    <w:rPr>
                      <w:rFonts w:hint="eastAsia" w:cs="Times New Roman"/>
                      <w:color w:val="000000" w:themeColor="text1"/>
                      <w:sz w:val="21"/>
                      <w:szCs w:val="21"/>
                      <w:u w:val="none" w:color="auto"/>
                      <w:lang w:val="en-US" w:eastAsia="zh-CN"/>
                      <w14:textFill>
                        <w14:solidFill>
                          <w14:schemeClr w14:val="tx1"/>
                        </w14:solidFill>
                      </w14:textFill>
                    </w:rPr>
                    <w:t>冲洗</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3686.1</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2</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u w:val="none" w:color="auto"/>
                      <w14:textFill>
                        <w14:solidFill>
                          <w14:schemeClr w14:val="tx1"/>
                        </w14:solidFill>
                      </w14:textFill>
                    </w:rPr>
                    <w:t>L/m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次</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300次</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3.69</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2.6</w:t>
                  </w:r>
                </w:p>
              </w:tc>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软水制备器反冲洗用水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12次/年</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/次</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10次</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0.08</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小计</w:t>
                  </w:r>
                </w:p>
              </w:tc>
              <w:tc>
                <w:tcPr>
                  <w:tcW w:w="1547"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20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20731</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81600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w:t>
                  </w:r>
                </w:p>
              </w:tc>
              <w:tc>
                <w:tcPr>
                  <w:tcW w:w="1973" w:type="dxa"/>
                  <w:gridSpan w:val="3"/>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绿化用水</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475.</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37</w:t>
                  </w:r>
                  <w:r>
                    <w:rPr>
                      <w:rFonts w:hint="default" w:ascii="Times New Roman" w:hAnsi="Times New Roman" w:eastAsia="宋体" w:cs="Times New Roman"/>
                      <w:color w:val="000000" w:themeColor="text1"/>
                      <w:sz w:val="21"/>
                      <w:szCs w:val="21"/>
                      <w:u w:val="none" w:color="auto"/>
                      <w14:textFill>
                        <w14:solidFill>
                          <w14:schemeClr w14:val="tx1"/>
                        </w14:solidFill>
                      </w14:textFill>
                    </w:rPr>
                    <w:t xml:space="preserve"> 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2</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u w:val="none" w:color="auto"/>
                      <w14:textFill>
                        <w14:solidFill>
                          <w14:schemeClr w14:val="tx1"/>
                        </w14:solidFill>
                      </w14:textFill>
                    </w:rPr>
                    <w:t>L/m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月</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12个月</w:t>
                  </w:r>
                </w:p>
              </w:tc>
              <w:tc>
                <w:tcPr>
                  <w:tcW w:w="91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720</w:t>
                  </w:r>
                </w:p>
              </w:tc>
            </w:tr>
          </w:tbl>
          <w:p>
            <w:pPr>
              <w:pStyle w:val="17"/>
              <w:spacing w:line="360" w:lineRule="auto"/>
              <w:ind w:firstLine="496" w:firstLineChars="200"/>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4"/>
                <w:u w:val="none" w:color="auto"/>
                <w14:textFill>
                  <w14:solidFill>
                    <w14:schemeClr w14:val="tx1"/>
                  </w14:solidFill>
                </w14:textFill>
              </w:rPr>
              <w:t>排水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4"/>
                <w:sz w:val="24"/>
                <w:u w:val="none" w:color="auto"/>
                <w14:textFill>
                  <w14:solidFill>
                    <w14:schemeClr w14:val="tx1"/>
                  </w14:solidFill>
                </w14:textFill>
              </w:rPr>
              <w:t>本项目排水体制采用雨、污分流制。主要为生活污水、生产</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废水（包括清洗</w:t>
            </w:r>
            <w:r>
              <w:rPr>
                <w:rFonts w:hint="default" w:ascii="Times New Roman" w:hAnsi="Times New Roman" w:eastAsia="宋体" w:cs="Times New Roman"/>
                <w:color w:val="000000" w:themeColor="text1"/>
                <w:spacing w:val="4"/>
                <w:sz w:val="24"/>
                <w:u w:val="none" w:color="auto"/>
                <w14:textFill>
                  <w14:solidFill>
                    <w14:schemeClr w14:val="tx1"/>
                  </w14:solidFill>
                </w14:textFill>
              </w:rPr>
              <w:t>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设备冲洗废水和</w:t>
            </w:r>
            <w:r>
              <w:rPr>
                <w:rFonts w:hint="default" w:ascii="Times New Roman" w:hAnsi="Times New Roman" w:eastAsia="宋体" w:cs="Times New Roman"/>
                <w:color w:val="000000" w:themeColor="text1"/>
                <w:spacing w:val="4"/>
                <w:sz w:val="24"/>
                <w:u w:val="none" w:color="auto"/>
                <w14:textFill>
                  <w14:solidFill>
                    <w14:schemeClr w14:val="tx1"/>
                  </w14:solidFill>
                </w14:textFill>
              </w:rPr>
              <w:t>车间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保洁</w:t>
            </w:r>
            <w:r>
              <w:rPr>
                <w:rFonts w:hint="default" w:ascii="Times New Roman" w:hAnsi="Times New Roman" w:eastAsia="宋体" w:cs="Times New Roman"/>
                <w:color w:val="000000" w:themeColor="text1"/>
                <w:spacing w:val="4"/>
                <w:sz w:val="24"/>
                <w:u w:val="none" w:color="auto"/>
                <w14:textFill>
                  <w14:solidFill>
                    <w14:schemeClr w14:val="tx1"/>
                  </w14:solidFill>
                </w14:textFill>
              </w:rPr>
              <w:t>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）和软水制备器反冲洗浓水</w:t>
            </w:r>
            <w:r>
              <w:rPr>
                <w:rFonts w:hint="default" w:ascii="Times New Roman" w:hAnsi="Times New Roman" w:eastAsia="宋体" w:cs="Times New Roman"/>
                <w:color w:val="000000" w:themeColor="text1"/>
                <w:spacing w:val="4"/>
                <w:sz w:val="24"/>
                <w:u w:val="none" w:color="auto"/>
                <w14:textFill>
                  <w14:solidFill>
                    <w14:schemeClr w14:val="tx1"/>
                  </w14:solidFill>
                </w14:textFill>
              </w:rPr>
              <w:t>。</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其中生活污水产生量按生活用水量的80%计，生产废水产生量按其用水量的90%计。</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jc w:val="left"/>
              <w:textAlignment w:val="auto"/>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pacing w:val="4"/>
                <w:sz w:val="24"/>
                <w:u w:val="none" w:color="auto"/>
                <w14:textFill>
                  <w14:solidFill>
                    <w14:schemeClr w14:val="tx1"/>
                  </w14:solidFill>
                </w14:textFill>
              </w:rPr>
              <w:t>生活污水经化粪池预处理</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后与</w:t>
            </w:r>
            <w:r>
              <w:rPr>
                <w:rFonts w:hint="default" w:ascii="Times New Roman" w:hAnsi="Times New Roman" w:eastAsia="宋体" w:cs="Times New Roman"/>
                <w:color w:val="000000" w:themeColor="text1"/>
                <w:spacing w:val="4"/>
                <w:sz w:val="24"/>
                <w:u w:val="none" w:color="auto"/>
                <w14:textFill>
                  <w14:solidFill>
                    <w14:schemeClr w14:val="tx1"/>
                  </w14:solidFill>
                </w14:textFill>
              </w:rPr>
              <w:t>生产废水</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一起进入</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厂内</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污水站进行</w:t>
            </w:r>
            <w:r>
              <w:rPr>
                <w:rFonts w:hint="default" w:ascii="Times New Roman" w:hAnsi="Times New Roman" w:eastAsia="宋体" w:cs="Times New Roman"/>
                <w:color w:val="000000" w:themeColor="text1"/>
                <w:spacing w:val="4"/>
                <w:sz w:val="24"/>
                <w:u w:val="none" w:color="auto"/>
                <w14:textFill>
                  <w14:solidFill>
                    <w14:schemeClr w14:val="tx1"/>
                  </w14:solidFill>
                </w14:textFill>
              </w:rPr>
              <w:t>处理</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达到</w:t>
            </w:r>
            <w:r>
              <w:rPr>
                <w:rFonts w:hint="default" w:ascii="Times New Roman" w:hAnsi="Times New Roman" w:eastAsia="宋体" w:cs="Times New Roman"/>
                <w:color w:val="000000" w:themeColor="text1"/>
                <w:spacing w:val="4"/>
                <w:sz w:val="24"/>
                <w:u w:val="none" w:color="auto"/>
                <w14:textFill>
                  <w14:solidFill>
                    <w14:schemeClr w14:val="tx1"/>
                  </w14:solidFill>
                </w14:textFill>
              </w:rPr>
              <w:t>《</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污水综合排放</w:t>
            </w:r>
            <w:r>
              <w:rPr>
                <w:rFonts w:hint="default" w:ascii="Times New Roman" w:hAnsi="Times New Roman" w:eastAsia="宋体" w:cs="Times New Roman"/>
                <w:color w:val="000000" w:themeColor="text1"/>
                <w:spacing w:val="4"/>
                <w:sz w:val="24"/>
                <w:u w:val="none" w:color="auto"/>
                <w14:textFill>
                  <w14:solidFill>
                    <w14:schemeClr w14:val="tx1"/>
                  </w14:solidFill>
                </w14:textFill>
              </w:rPr>
              <w:t>标准》（GB</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8978</w:t>
            </w:r>
            <w:r>
              <w:rPr>
                <w:rFonts w:hint="default" w:ascii="Times New Roman" w:hAnsi="Times New Roman" w:eastAsia="宋体" w:cs="Times New Roman"/>
                <w:color w:val="000000" w:themeColor="text1"/>
                <w:spacing w:val="4"/>
                <w:sz w:val="24"/>
                <w:u w:val="none" w:color="auto"/>
                <w14:textFill>
                  <w14:solidFill>
                    <w14:schemeClr w14:val="tx1"/>
                  </w14:solidFill>
                </w14:textFill>
              </w:rPr>
              <w:t>-</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1996</w:t>
            </w:r>
            <w:r>
              <w:rPr>
                <w:rFonts w:hint="default" w:ascii="Times New Roman" w:hAnsi="Times New Roman" w:eastAsia="宋体" w:cs="Times New Roman"/>
                <w:color w:val="000000" w:themeColor="text1"/>
                <w:spacing w:val="4"/>
                <w:sz w:val="24"/>
                <w:u w:val="none" w:color="auto"/>
                <w14:textFill>
                  <w14:solidFill>
                    <w14:schemeClr w14:val="tx1"/>
                  </w14:solidFill>
                </w14:textFill>
              </w:rPr>
              <w:t>）</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表4中一级标准后排入附近河流</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；软水制备器反冲洗浓水属于清净下水，</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可</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直接</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排入雨水沟</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锅炉蒸汽用水约50%蒸汽蒸发</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损耗</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，约50%</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转变成</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冷凝水</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后</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用于</w:t>
            </w:r>
            <w:r>
              <w:rPr>
                <w:rFonts w:hint="eastAsia" w:ascii="Times New Roman" w:hAnsi="Times New Roman" w:cs="Times New Roman"/>
                <w:color w:val="000000" w:themeColor="text1"/>
                <w:spacing w:val="4"/>
                <w:sz w:val="24"/>
                <w:u w:val="none" w:color="auto"/>
                <w:lang w:val="en-US" w:eastAsia="zh-CN"/>
                <w14:textFill>
                  <w14:solidFill>
                    <w14:schemeClr w14:val="tx1"/>
                  </w14:solidFill>
                </w14:textFill>
              </w:rPr>
              <w:t>车间地面保洁用水</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u w:val="none"/>
                <w:lang w:eastAsia="zh-CN"/>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①</w:t>
            </w:r>
            <w:r>
              <w:rPr>
                <w:rFonts w:hint="default" w:ascii="Times New Roman" w:hAnsi="Times New Roman" w:eastAsia="宋体" w:cs="Times New Roman"/>
                <w:color w:val="000000" w:themeColor="text1"/>
                <w:sz w:val="24"/>
                <w:u w:val="none"/>
                <w:lang w:eastAsia="zh-CN"/>
                <w14:textFill>
                  <w14:solidFill>
                    <w14:schemeClr w14:val="tx1"/>
                  </w14:solidFill>
                </w14:textFill>
              </w:rPr>
              <w:t>生活污水</w:t>
            </w:r>
          </w:p>
          <w:p>
            <w:pPr>
              <w:spacing w:line="360" w:lineRule="auto"/>
              <w:ind w:firstLine="480" w:firstLineChars="200"/>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根据水平衡图：本</w:t>
            </w:r>
            <w:r>
              <w:rPr>
                <w:rFonts w:hint="default" w:ascii="Times New Roman" w:hAnsi="Times New Roman" w:eastAsia="宋体" w:cs="Times New Roman"/>
                <w:color w:val="000000" w:themeColor="text1"/>
                <w:sz w:val="24"/>
                <w:u w:val="none"/>
                <w14:textFill>
                  <w14:solidFill>
                    <w14:schemeClr w14:val="tx1"/>
                  </w14:solidFill>
                </w14:textFill>
              </w:rPr>
              <w:t>项目</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生活污水产生量为</w:t>
            </w:r>
            <w:r>
              <w:rPr>
                <w:rFonts w:hint="eastAsia" w:cs="Times New Roman"/>
                <w:color w:val="000000" w:themeColor="text1"/>
                <w:sz w:val="24"/>
                <w:u w:val="none"/>
                <w:lang w:val="en-US" w:eastAsia="zh-CN"/>
                <w14:textFill>
                  <w14:solidFill>
                    <w14:schemeClr w14:val="tx1"/>
                  </w14:solidFill>
                </w14:textFill>
              </w:rPr>
              <w:t>2520</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14:textFill>
                  <w14:solidFill>
                    <w14:schemeClr w14:val="tx1"/>
                  </w14:solidFill>
                </w14:textFill>
              </w:rPr>
              <w:t>/a(</w:t>
            </w:r>
            <w:r>
              <w:rPr>
                <w:rFonts w:hint="eastAsia" w:cs="Times New Roman"/>
                <w:color w:val="000000" w:themeColor="text1"/>
                <w:sz w:val="24"/>
                <w:u w:val="none"/>
                <w:lang w:val="en-US" w:eastAsia="zh-CN"/>
                <w14:textFill>
                  <w14:solidFill>
                    <w14:schemeClr w14:val="tx1"/>
                  </w14:solidFill>
                </w14:textFill>
              </w:rPr>
              <w:t>8.4</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14:textFill>
                  <w14:solidFill>
                    <w14:schemeClr w14:val="tx1"/>
                  </w14:solidFill>
                </w14:textFill>
              </w:rPr>
              <w:t>/d)，按照一般生活污水污染情况，主要污染物及产生浓度如下CODcr：350mg/L、BOD</w:t>
            </w:r>
            <w:r>
              <w:rPr>
                <w:rFonts w:hint="default" w:ascii="Times New Roman" w:hAnsi="Times New Roman" w:eastAsia="宋体" w:cs="Times New Roman"/>
                <w:color w:val="000000" w:themeColor="text1"/>
                <w:sz w:val="24"/>
                <w:u w:val="none"/>
                <w:vertAlign w:val="subscript"/>
                <w14:textFill>
                  <w14:solidFill>
                    <w14:schemeClr w14:val="tx1"/>
                  </w14:solidFill>
                </w14:textFill>
              </w:rPr>
              <w:t>5</w:t>
            </w:r>
            <w:r>
              <w:rPr>
                <w:rFonts w:hint="default" w:ascii="Times New Roman" w:hAnsi="Times New Roman" w:eastAsia="宋体" w:cs="Times New Roman"/>
                <w:color w:val="000000" w:themeColor="text1"/>
                <w:sz w:val="24"/>
                <w:u w:val="none"/>
                <w14:textFill>
                  <w14:solidFill>
                    <w14:schemeClr w14:val="tx1"/>
                  </w14:solidFill>
                </w14:textFill>
              </w:rPr>
              <w:t>：180mg/L、SS：250mg/L、氨氮：25mg/L</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总氮</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总磷</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u w:val="none"/>
                <w14:textFill>
                  <w14:solidFill>
                    <w14:schemeClr w14:val="tx1"/>
                  </w14:solidFill>
                </w14:textFill>
              </w:rPr>
              <w:t>mg/L等。</w:t>
            </w:r>
          </w:p>
          <w:p>
            <w:pPr>
              <w:pStyle w:val="17"/>
              <w:spacing w:line="360" w:lineRule="auto"/>
              <w:ind w:firstLine="480" w:firstLineChars="200"/>
              <w:rPr>
                <w:rFonts w:hint="default" w:ascii="Times New Roman" w:hAnsi="Times New Roman" w:eastAsia="宋体" w:cs="Times New Roman"/>
                <w:color w:val="000000" w:themeColor="text1"/>
                <w:sz w:val="24"/>
                <w:u w:val="none"/>
                <w:lang w:eastAsia="zh-CN"/>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②生产</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废水</w:t>
            </w:r>
          </w:p>
          <w:p>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本项目的</w:t>
            </w:r>
            <w:r>
              <w:rPr>
                <w:rFonts w:hint="default" w:ascii="Times New Roman" w:hAnsi="Times New Roman" w:eastAsia="宋体" w:cs="Times New Roman"/>
                <w:color w:val="000000" w:themeColor="text1"/>
                <w:sz w:val="24"/>
                <w:u w:val="none"/>
                <w14:textFill>
                  <w14:solidFill>
                    <w14:schemeClr w14:val="tx1"/>
                  </w14:solidFill>
                </w14:textFill>
              </w:rPr>
              <w:t>生产</w:t>
            </w:r>
            <w:r>
              <w:rPr>
                <w:rFonts w:hint="default" w:ascii="Times New Roman" w:hAnsi="Times New Roman" w:eastAsia="宋体" w:cs="Times New Roman"/>
                <w:color w:val="000000" w:themeColor="text1"/>
                <w:sz w:val="24"/>
                <w:u w:val="none"/>
                <w:lang w:eastAsia="zh-CN"/>
                <w14:textFill>
                  <w14:solidFill>
                    <w14:schemeClr w14:val="tx1"/>
                  </w14:solidFill>
                </w14:textFill>
              </w:rPr>
              <w:t>废水包括清洗</w:t>
            </w:r>
            <w:r>
              <w:rPr>
                <w:rFonts w:hint="default" w:ascii="Times New Roman" w:hAnsi="Times New Roman" w:eastAsia="宋体" w:cs="Times New Roman"/>
                <w:color w:val="000000" w:themeColor="text1"/>
                <w:sz w:val="24"/>
                <w:u w:val="none"/>
                <w14:textFill>
                  <w14:solidFill>
                    <w14:schemeClr w14:val="tx1"/>
                  </w14:solidFill>
                </w14:textFill>
              </w:rPr>
              <w:t>废水、</w:t>
            </w:r>
            <w:r>
              <w:rPr>
                <w:rFonts w:hint="default" w:ascii="Times New Roman" w:hAnsi="Times New Roman" w:eastAsia="宋体" w:cs="Times New Roman"/>
                <w:color w:val="000000" w:themeColor="text1"/>
                <w:sz w:val="24"/>
                <w:u w:val="none"/>
                <w:lang w:eastAsia="zh-CN"/>
                <w14:textFill>
                  <w14:solidFill>
                    <w14:schemeClr w14:val="tx1"/>
                  </w14:solidFill>
                </w14:textFill>
              </w:rPr>
              <w:t>设备冲洗废水</w:t>
            </w:r>
            <w:r>
              <w:rPr>
                <w:rFonts w:hint="eastAsia"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车间</w:t>
            </w:r>
            <w:r>
              <w:rPr>
                <w:rFonts w:hint="default" w:ascii="Times New Roman" w:hAnsi="Times New Roman" w:eastAsia="宋体" w:cs="Times New Roman"/>
                <w:color w:val="000000" w:themeColor="text1"/>
                <w:sz w:val="24"/>
                <w:u w:val="none"/>
                <w:lang w:eastAsia="zh-CN"/>
                <w14:textFill>
                  <w14:solidFill>
                    <w14:schemeClr w14:val="tx1"/>
                  </w14:solidFill>
                </w14:textFill>
              </w:rPr>
              <w:t>保洁</w:t>
            </w:r>
            <w:r>
              <w:rPr>
                <w:rFonts w:hint="default" w:ascii="Times New Roman" w:hAnsi="Times New Roman" w:eastAsia="宋体" w:cs="Times New Roman"/>
                <w:color w:val="000000" w:themeColor="text1"/>
                <w:sz w:val="24"/>
                <w:u w:val="none"/>
                <w14:textFill>
                  <w14:solidFill>
                    <w14:schemeClr w14:val="tx1"/>
                  </w14:solidFill>
                </w14:textFill>
              </w:rPr>
              <w:t>废水</w:t>
            </w:r>
            <w:r>
              <w:rPr>
                <w:rFonts w:hint="default" w:ascii="Times New Roman" w:hAnsi="Times New Roman" w:eastAsia="宋体" w:cs="Times New Roman"/>
                <w:color w:val="000000" w:themeColor="text1"/>
                <w:sz w:val="24"/>
                <w:u w:val="none"/>
                <w:lang w:eastAsia="zh-CN"/>
                <w14:textFill>
                  <w14:solidFill>
                    <w14:schemeClr w14:val="tx1"/>
                  </w14:solidFill>
                </w14:textFill>
              </w:rPr>
              <w:t>和</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锅炉废水（锅炉排水和软水制备废水）</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根据水平衡图计算得：本项目的生产废水总量=</w:t>
            </w:r>
            <w:r>
              <w:rPr>
                <w:rFonts w:hint="eastAsia" w:cs="Times New Roman"/>
                <w:color w:val="000000" w:themeColor="text1"/>
                <w:sz w:val="24"/>
                <w:u w:val="none"/>
                <w:lang w:val="en-US" w:eastAsia="zh-CN"/>
                <w14:textFill>
                  <w14:solidFill>
                    <w14:schemeClr w14:val="tx1"/>
                  </w14:solidFill>
                </w14:textFill>
              </w:rPr>
              <w:t>23.8</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r>
              <w:rPr>
                <w:rFonts w:hint="eastAsia" w:cs="Times New Roman"/>
                <w:color w:val="000000" w:themeColor="text1"/>
                <w:sz w:val="24"/>
                <w:u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r>
              <w:rPr>
                <w:rFonts w:hint="eastAsia" w:cs="Times New Roman"/>
                <w:color w:val="000000" w:themeColor="text1"/>
                <w:sz w:val="24"/>
                <w:u w:val="none"/>
                <w:lang w:val="en-US" w:eastAsia="zh-CN"/>
                <w14:textFill>
                  <w14:solidFill>
                    <w14:schemeClr w14:val="tx1"/>
                  </w14:solidFill>
                </w14:textFill>
              </w:rPr>
              <w:t>11.32+0.641</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r>
              <w:rPr>
                <w:rFonts w:hint="eastAsia" w:cs="Times New Roman"/>
                <w:color w:val="000000" w:themeColor="text1"/>
                <w:sz w:val="24"/>
                <w:u w:val="none"/>
                <w:lang w:val="en-US" w:eastAsia="zh-CN"/>
                <w14:textFill>
                  <w14:solidFill>
                    <w14:schemeClr w14:val="tx1"/>
                  </w14:solidFill>
                </w14:textFill>
              </w:rPr>
              <w:t>45.961</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/a）。</w:t>
            </w:r>
          </w:p>
          <w:p>
            <w:pPr>
              <w:spacing w:line="360" w:lineRule="auto"/>
              <w:ind w:firstLine="480" w:firstLineChars="200"/>
              <w:rPr>
                <w:rFonts w:hint="default" w:ascii="Times New Roman" w:hAnsi="Times New Roman" w:eastAsia="宋体" w:cs="Times New Roman"/>
                <w:color w:val="000000" w:themeColor="text1"/>
                <w:sz w:val="24"/>
                <w:u w:val="none"/>
                <w:lang w:val="en-US"/>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污染物及产生浓度依据：</w:t>
            </w:r>
            <w:r>
              <w:rPr>
                <w:rFonts w:hint="default" w:ascii="Times New Roman" w:hAnsi="Times New Roman" w:eastAsia="宋体" w:cs="Times New Roman"/>
                <w:color w:val="000000" w:themeColor="text1"/>
                <w:sz w:val="24"/>
                <w:u w:val="none"/>
                <w14:textFill>
                  <w14:solidFill>
                    <w14:schemeClr w14:val="tx1"/>
                  </w14:solidFill>
                </w14:textFill>
              </w:rPr>
              <w:t>根据《排放源统计调查产排污核算方法和系数手册》</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中的1431 米、面制品制造行业系数手册，具体如下：</w:t>
            </w:r>
          </w:p>
          <w:p>
            <w:pPr>
              <w:spacing w:line="360" w:lineRule="auto"/>
              <w:jc w:val="center"/>
              <w:rPr>
                <w:rFonts w:hint="default" w:ascii="Times New Roman" w:hAnsi="Times New Roman" w:eastAsia="宋体" w:cs="Times New Roman"/>
                <w:color w:val="000000" w:themeColor="text1"/>
                <w:sz w:val="24"/>
                <w:u w:val="none"/>
                <w:lang w:val="en-US"/>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0" distR="0" simplePos="0" relativeHeight="251659264" behindDoc="0" locked="0" layoutInCell="1" allowOverlap="1">
                      <wp:simplePos x="0" y="0"/>
                      <wp:positionH relativeFrom="column">
                        <wp:posOffset>6985</wp:posOffset>
                      </wp:positionH>
                      <wp:positionV relativeFrom="paragraph">
                        <wp:posOffset>1960245</wp:posOffset>
                      </wp:positionV>
                      <wp:extent cx="5200650" cy="1333500"/>
                      <wp:effectExtent l="13970" t="13970" r="24130" b="24130"/>
                      <wp:wrapNone/>
                      <wp:docPr id="1099" name="文本框 236"/>
                      <wp:cNvGraphicFramePr/>
                      <a:graphic xmlns:a="http://schemas.openxmlformats.org/drawingml/2006/main">
                        <a:graphicData uri="http://schemas.microsoft.com/office/word/2010/wordprocessingShape">
                          <wps:wsp>
                            <wps:cNvSpPr/>
                            <wps:spPr>
                              <a:xfrm>
                                <a:off x="0" y="0"/>
                                <a:ext cx="5200650" cy="1333499"/>
                              </a:xfrm>
                              <a:prstGeom prst="rect">
                                <a:avLst/>
                              </a:prstGeom>
                              <a:ln w="28575" cap="flat" cmpd="sng">
                                <a:solidFill>
                                  <a:srgbClr val="FF0000"/>
                                </a:solidFill>
                                <a:prstDash val="solid"/>
                                <a:round/>
                              </a:ln>
                            </wps:spPr>
                            <wps:txbx>
                              <w:txbxContent>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0.55pt;margin-top:154.35pt;height:105pt;width:409.5pt;z-index:251659264;mso-width-relative:page;mso-height-relative:page;" filled="f" stroked="t" coordsize="21600,21600" o:gfxdata="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HdTG9QAAAAJAQAADwAAAAAAAAAB&#10;ACAAAAAiAAAAZHJzL2Rvd25yZXYueG1sUEsBAhQAFAAAAAgAh07iQHKGfd8UAgAAEgQAAA4AAAAA&#10;AAAAAQAgAAAAIwEAAGRycy9lMm9Eb2MueG1sUEsFBgAAAAAGAAYAWQEAAKkFAAAAAA==&#10;">
                      <v:fill on="f" focussize="0,0"/>
                      <v:stroke weight="2.25pt" color="#FF0000" joinstyle="round"/>
                      <v:imagedata o:title=""/>
                      <o:lock v:ext="edit" aspectratio="f"/>
                      <v:textbox>
                        <w:txbxContent>
                          <w:p/>
                        </w:txbxContent>
                      </v:textbox>
                    </v:rect>
                  </w:pict>
                </mc:Fallback>
              </mc:AlternateContent>
            </w: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5207000" cy="3323590"/>
                  <wp:effectExtent l="0" t="0" r="12700" b="10160"/>
                  <wp:docPr id="1100" name="图片 1"/>
                  <wp:cNvGraphicFramePr/>
                  <a:graphic xmlns:a="http://schemas.openxmlformats.org/drawingml/2006/main">
                    <a:graphicData uri="http://schemas.openxmlformats.org/drawingml/2006/picture">
                      <pic:pic xmlns:pic="http://schemas.openxmlformats.org/drawingml/2006/picture">
                        <pic:nvPicPr>
                          <pic:cNvPr id="1100" name="图片 1"/>
                          <pic:cNvPicPr/>
                        </pic:nvPicPr>
                        <pic:blipFill>
                          <a:blip r:embed="rId22" cstate="print"/>
                          <a:srcRect/>
                          <a:stretch>
                            <a:fillRect/>
                          </a:stretch>
                        </pic:blipFill>
                        <pic:spPr>
                          <a:xfrm>
                            <a:off x="0" y="0"/>
                            <a:ext cx="5207000" cy="3323590"/>
                          </a:xfrm>
                          <a:prstGeom prst="rect">
                            <a:avLst/>
                          </a:prstGeom>
                          <a:ln>
                            <a:noFill/>
                          </a:ln>
                        </pic:spPr>
                      </pic:pic>
                    </a:graphicData>
                  </a:graphic>
                </wp:inline>
              </w:drawing>
            </w:r>
          </w:p>
          <w:p>
            <w:pPr>
              <w:spacing w:line="360" w:lineRule="auto"/>
              <w:ind w:firstLine="480" w:firstLineChars="200"/>
              <w:rPr>
                <w:rFonts w:hint="default" w:ascii="Times New Roman" w:hAnsi="Times New Roman" w:eastAsia="宋体" w:cs="Times New Roman"/>
                <w:color w:val="000000" w:themeColor="text1"/>
                <w:sz w:val="24"/>
                <w:u w:val="none"/>
                <w:lang w:eastAsia="zh-CN"/>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根据“1431米、面制品制造行业系数表”</w:t>
            </w:r>
            <w:r>
              <w:rPr>
                <w:rFonts w:hint="eastAsia" w:cs="Times New Roman"/>
                <w:color w:val="000000" w:themeColor="text1"/>
                <w:sz w:val="24"/>
                <w:u w:val="none"/>
                <w:lang w:val="en-US" w:eastAsia="zh-CN"/>
                <w14:textFill>
                  <w14:solidFill>
                    <w14:schemeClr w14:val="tx1"/>
                  </w14:solidFill>
                </w14:textFill>
              </w:rPr>
              <w:t>换算结果得：</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本项目的生产废水</w:t>
            </w:r>
            <w:r>
              <w:rPr>
                <w:rFonts w:hint="default" w:ascii="Times New Roman" w:hAnsi="Times New Roman" w:eastAsia="宋体" w:cs="Times New Roman"/>
                <w:color w:val="000000" w:themeColor="text1"/>
                <w:sz w:val="24"/>
                <w:u w:val="none"/>
                <w14:textFill>
                  <w14:solidFill>
                    <w14:schemeClr w14:val="tx1"/>
                  </w14:solidFill>
                </w14:textFill>
              </w:rPr>
              <w:t>主要污染物及产生浓度如下</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CODcr≈</w:t>
            </w:r>
            <w:r>
              <w:rPr>
                <w:rFonts w:hint="eastAsia" w:cs="Times New Roman"/>
                <w:color w:val="000000" w:themeColor="text1"/>
                <w:sz w:val="24"/>
                <w:u w:val="none"/>
                <w:lang w:val="en-US" w:eastAsia="zh-CN"/>
                <w14:textFill>
                  <w14:solidFill>
                    <w14:schemeClr w14:val="tx1"/>
                  </w14:solidFill>
                </w14:textFill>
              </w:rPr>
              <w:t>10946.06</w:t>
            </w:r>
            <w:r>
              <w:rPr>
                <w:rFonts w:hint="default" w:ascii="Times New Roman" w:hAnsi="Times New Roman" w:eastAsia="宋体" w:cs="Times New Roman"/>
                <w:color w:val="000000" w:themeColor="text1"/>
                <w:sz w:val="24"/>
                <w:u w:val="none"/>
                <w14:textFill>
                  <w14:solidFill>
                    <w14:schemeClr w14:val="tx1"/>
                  </w14:solidFill>
                </w14:textFill>
              </w:rPr>
              <w:t>mg/L、氨氮≈</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总氮</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总磷</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其余污染物产生浓度</w:t>
            </w:r>
            <w:r>
              <w:rPr>
                <w:rFonts w:hint="default" w:ascii="Times New Roman" w:hAnsi="Times New Roman" w:eastAsia="宋体" w:cs="Times New Roman"/>
                <w:color w:val="000000" w:themeColor="text1"/>
                <w:kern w:val="0"/>
                <w:sz w:val="24"/>
                <w14:textFill>
                  <w14:solidFill>
                    <w14:schemeClr w14:val="tx1"/>
                  </w14:solidFill>
                </w14:textFill>
              </w:rPr>
              <w:t>类比同类行业</w:t>
            </w:r>
            <w:r>
              <w:rPr>
                <w:rFonts w:hint="default" w:ascii="Times New Roman" w:hAnsi="Times New Roman" w:eastAsia="宋体" w:cs="Times New Roman"/>
                <w:b w:val="0"/>
                <w:bCs w:val="0"/>
                <w:color w:val="000000" w:themeColor="text1"/>
                <w:kern w:val="0"/>
                <w:sz w:val="24"/>
                <w:u w:val="none"/>
                <w:lang w:val="en-US" w:eastAsia="zh-CN"/>
                <w14:textFill>
                  <w14:solidFill>
                    <w14:schemeClr w14:val="tx1"/>
                  </w14:solidFill>
                </w14:textFill>
              </w:rPr>
              <w:t>得：</w:t>
            </w:r>
            <w:r>
              <w:rPr>
                <w:rFonts w:hint="default" w:ascii="Times New Roman" w:hAnsi="Times New Roman" w:eastAsia="宋体" w:cs="Times New Roman"/>
                <w:color w:val="000000" w:themeColor="text1"/>
                <w:sz w:val="24"/>
                <w:u w:val="none"/>
                <w14:textFill>
                  <w14:solidFill>
                    <w14:schemeClr w14:val="tx1"/>
                  </w14:solidFill>
                </w14:textFill>
              </w:rPr>
              <w:t>BOD</w:t>
            </w:r>
            <w:r>
              <w:rPr>
                <w:rFonts w:hint="default" w:ascii="Times New Roman" w:hAnsi="Times New Roman" w:eastAsia="宋体" w:cs="Times New Roman"/>
                <w:color w:val="000000" w:themeColor="text1"/>
                <w:sz w:val="24"/>
                <w:u w:val="none"/>
                <w:vertAlign w:val="subscript"/>
                <w14:textFill>
                  <w14:solidFill>
                    <w14:schemeClr w14:val="tx1"/>
                  </w14:solidFill>
                </w14:textFill>
              </w:rPr>
              <w:t>5</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u w:val="none"/>
                <w14:textFill>
                  <w14:solidFill>
                    <w14:schemeClr w14:val="tx1"/>
                  </w14:solidFill>
                </w14:textFill>
              </w:rPr>
              <w:t>mg/L、SS≈</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动植物油</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u w:val="none"/>
                <w14:textFill>
                  <w14:solidFill>
                    <w14:schemeClr w14:val="tx1"/>
                  </w14:solidFill>
                </w14:textFill>
              </w:rPr>
              <w:t>mg/L</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bCs/>
                <w:color w:val="000000" w:themeColor="text1"/>
                <w:sz w:val="24"/>
                <w:u w:val="none"/>
                <w14:textFill>
                  <w14:solidFill>
                    <w14:schemeClr w14:val="tx1"/>
                  </w14:solidFill>
                </w14:textFill>
              </w:rPr>
            </w:pPr>
            <w:r>
              <w:rPr>
                <w:rFonts w:hint="default" w:ascii="Times New Roman" w:hAnsi="Times New Roman" w:eastAsia="宋体" w:cs="Times New Roman"/>
                <w:bCs/>
                <w:color w:val="000000" w:themeColor="text1"/>
                <w:sz w:val="24"/>
                <w:u w:val="none"/>
                <w14:textFill>
                  <w14:solidFill>
                    <w14:schemeClr w14:val="tx1"/>
                  </w14:solidFill>
                </w14:textFill>
              </w:rPr>
              <w:t>③</w:t>
            </w:r>
            <w:r>
              <w:rPr>
                <w:rFonts w:hint="default" w:ascii="Times New Roman" w:hAnsi="Times New Roman" w:eastAsia="宋体" w:cs="Times New Roman"/>
                <w:bCs/>
                <w:color w:val="000000" w:themeColor="text1"/>
                <w:sz w:val="24"/>
                <w:u w:val="none"/>
                <w:lang w:eastAsia="zh-CN"/>
                <w14:textFill>
                  <w14:solidFill>
                    <w14:schemeClr w14:val="tx1"/>
                  </w14:solidFill>
                </w14:textFill>
              </w:rPr>
              <w:t>蒸汽</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软水制备器反冲洗浓水</w:t>
            </w:r>
          </w:p>
          <w:p>
            <w:pPr>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本项目生产阶段所需热量由一台</w:t>
            </w:r>
            <w:r>
              <w:rPr>
                <w:rFonts w:hint="default" w:ascii="Times New Roman" w:hAnsi="Times New Roman" w:eastAsia="宋体" w:cs="Times New Roman"/>
                <w:color w:val="000000" w:themeColor="text1"/>
                <w:sz w:val="24"/>
                <w:u w:val="none"/>
                <w:lang w:eastAsia="zh-CN"/>
                <w14:textFill>
                  <w14:solidFill>
                    <w14:schemeClr w14:val="tx1"/>
                  </w14:solidFill>
                </w14:textFill>
              </w:rPr>
              <w:t>蒸汽锅炉</w:t>
            </w:r>
            <w:r>
              <w:rPr>
                <w:rFonts w:hint="default" w:ascii="Times New Roman" w:hAnsi="Times New Roman" w:eastAsia="宋体" w:cs="Times New Roman"/>
                <w:color w:val="000000" w:themeColor="text1"/>
                <w:sz w:val="24"/>
                <w:u w:val="none"/>
                <w14:textFill>
                  <w14:solidFill>
                    <w14:schemeClr w14:val="tx1"/>
                  </w14:solidFill>
                </w14:textFill>
              </w:rPr>
              <w:t>（</w:t>
            </w:r>
            <w:r>
              <w:rPr>
                <w:rFonts w:hint="eastAsia" w:cs="Times New Roman"/>
                <w:color w:val="000000" w:themeColor="text1"/>
                <w:sz w:val="24"/>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u w:val="none"/>
                <w14:textFill>
                  <w14:solidFill>
                    <w14:schemeClr w14:val="tx1"/>
                  </w14:solidFill>
                </w14:textFill>
              </w:rPr>
              <w:t>t/h）蒸汽提供，根据建设单位提供的资料，</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每个月需要对锅炉</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软水制备器</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进行</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反冲洗，</w:t>
            </w:r>
            <w:r>
              <w:rPr>
                <w:rFonts w:hint="default" w:ascii="Times New Roman" w:hAnsi="Times New Roman" w:eastAsia="宋体" w:cs="Times New Roman"/>
                <w:color w:val="000000" w:themeColor="text1"/>
                <w:spacing w:val="4"/>
                <w:sz w:val="24"/>
                <w:u w:val="none" w:color="auto"/>
                <w:lang w:val="en-US" w:eastAsia="zh-CN"/>
                <w14:textFill>
                  <w14:solidFill>
                    <w14:schemeClr w14:val="tx1"/>
                  </w14:solidFill>
                </w14:textFill>
              </w:rPr>
              <w:t>反冲洗过程会产生</w:t>
            </w:r>
            <w:r>
              <w:rPr>
                <w:rFonts w:hint="default" w:ascii="Times New Roman" w:hAnsi="Times New Roman" w:eastAsia="宋体" w:cs="Times New Roman"/>
                <w:color w:val="000000" w:themeColor="text1"/>
                <w:spacing w:val="4"/>
                <w:sz w:val="24"/>
                <w:u w:val="none" w:color="auto"/>
                <w:lang w:eastAsia="zh-CN"/>
                <w14:textFill>
                  <w14:solidFill>
                    <w14:schemeClr w14:val="tx1"/>
                  </w14:solidFill>
                </w14:textFill>
              </w:rPr>
              <w:t>浓水</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，产生量为2m</w:t>
            </w:r>
            <w:r>
              <w:rPr>
                <w:rFonts w:hint="default" w:ascii="Times New Roman" w:hAnsi="Times New Roman" w:eastAsia="宋体" w:cs="Times New Roman"/>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/次（24m</w:t>
            </w:r>
            <w:r>
              <w:rPr>
                <w:rFonts w:hint="default" w:ascii="Times New Roman" w:hAnsi="Times New Roman" w:eastAsia="宋体" w:cs="Times New Roman"/>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该浓水属于清净下水，可</w:t>
            </w:r>
            <w:r>
              <w:rPr>
                <w:rFonts w:hint="eastAsia" w:cs="Times New Roman"/>
                <w:color w:val="000000" w:themeColor="text1"/>
                <w:sz w:val="24"/>
                <w:u w:val="none"/>
                <w:lang w:val="en-US" w:eastAsia="zh-CN"/>
                <w14:textFill>
                  <w14:solidFill>
                    <w14:schemeClr w14:val="tx1"/>
                  </w14:solidFill>
                </w14:textFill>
              </w:rPr>
              <w:t>直接排入雨水沟</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综上，本项目废水的产生情况见下表。</w:t>
            </w:r>
          </w:p>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2"/>
                <w14:textFill>
                  <w14:solidFill>
                    <w14:schemeClr w14:val="tx1"/>
                  </w14:solidFill>
                </w14:textFill>
              </w:rPr>
              <w:t>表4-</w:t>
            </w:r>
            <w:r>
              <w:rPr>
                <w:rFonts w:hint="default" w:ascii="Times New Roman" w:hAnsi="Times New Roman" w:eastAsia="宋体" w:cs="Times New Roman"/>
                <w:b/>
                <w:bCs/>
                <w:color w:val="000000" w:themeColor="text1"/>
                <w:sz w:val="22"/>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2"/>
                <w14:textFill>
                  <w14:solidFill>
                    <w14:schemeClr w14:val="tx1"/>
                  </w14:solidFill>
                </w14:textFill>
              </w:rPr>
              <w:t xml:space="preserve">  项目废水产</w:t>
            </w:r>
            <w:r>
              <w:rPr>
                <w:rFonts w:hint="default" w:ascii="Times New Roman" w:hAnsi="Times New Roman" w:eastAsia="宋体" w:cs="Times New Roman"/>
                <w:b/>
                <w:bCs/>
                <w:color w:val="000000" w:themeColor="text1"/>
                <w:sz w:val="22"/>
                <w:lang w:val="en-US" w:eastAsia="zh-CN"/>
                <w14:textFill>
                  <w14:solidFill>
                    <w14:schemeClr w14:val="tx1"/>
                  </w14:solidFill>
                </w14:textFill>
              </w:rPr>
              <w:t>排情况</w:t>
            </w:r>
            <w:r>
              <w:rPr>
                <w:rFonts w:hint="default" w:ascii="Times New Roman" w:hAnsi="Times New Roman" w:eastAsia="宋体" w:cs="Times New Roman"/>
                <w:b/>
                <w:bCs/>
                <w:color w:val="000000" w:themeColor="text1"/>
                <w:sz w:val="22"/>
                <w14:textFill>
                  <w14:solidFill>
                    <w14:schemeClr w14:val="tx1"/>
                  </w14:solidFill>
                </w14:textFill>
              </w:rPr>
              <w:t>一览表</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718"/>
              <w:gridCol w:w="1066"/>
              <w:gridCol w:w="1498"/>
              <w:gridCol w:w="1123"/>
              <w:gridCol w:w="770"/>
              <w:gridCol w:w="739"/>
              <w:gridCol w:w="710"/>
              <w:gridCol w:w="711"/>
              <w:gridCol w:w="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污染源</w:t>
                  </w:r>
                </w:p>
              </w:tc>
              <w:tc>
                <w:tcPr>
                  <w:tcW w:w="66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废水产生量</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COD</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BOD</w:t>
                  </w:r>
                  <w:r>
                    <w:rPr>
                      <w:rFonts w:hint="default" w:ascii="Times New Roman" w:hAnsi="Times New Roman" w:eastAsia="宋体" w:cs="Times New Roman"/>
                      <w:b/>
                      <w:color w:val="000000" w:themeColor="text1"/>
                      <w:sz w:val="21"/>
                      <w:szCs w:val="21"/>
                      <w:vertAlign w:val="subscript"/>
                      <w14:textFill>
                        <w14:solidFill>
                          <w14:schemeClr w14:val="tx1"/>
                        </w14:solidFill>
                      </w14:textFill>
                    </w:rPr>
                    <w:t>5</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SS</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NH</w:t>
                  </w:r>
                  <w:r>
                    <w:rPr>
                      <w:rFonts w:hint="default" w:ascii="Times New Roman" w:hAnsi="Times New Roman" w:eastAsia="宋体" w:cs="Times New Roman"/>
                      <w:b/>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-N</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TN</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661" w:type="pct"/>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2520</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50</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180</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250</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40</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882</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454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63</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101</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w:t>
                  </w:r>
                  <w:r>
                    <w:rPr>
                      <w:rFonts w:hint="eastAsia" w:cs="Times New Roman"/>
                      <w:color w:val="000000" w:themeColor="text1"/>
                      <w:kern w:val="0"/>
                      <w:sz w:val="21"/>
                      <w:szCs w:val="2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生产废水</w:t>
                  </w:r>
                </w:p>
              </w:tc>
              <w:tc>
                <w:tcPr>
                  <w:tcW w:w="661" w:type="pct"/>
                  <w:vMerge w:val="restart"/>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13788.3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10946.06</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395.99</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395.99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26.54</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84.06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14:textFill>
                        <w14:solidFill>
                          <w14:schemeClr w14:val="tx1"/>
                        </w14:solidFill>
                      </w14:textFill>
                    </w:rPr>
                    <w:t>157.09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150.928</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5.46</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5.46</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1.159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综合</w:t>
                  </w:r>
                  <w:r>
                    <w:rPr>
                      <w:rFonts w:hint="default" w:ascii="Times New Roman" w:hAnsi="Times New Roman" w:eastAsia="宋体" w:cs="Times New Roman"/>
                      <w:color w:val="000000" w:themeColor="text1"/>
                      <w:spacing w:val="6"/>
                      <w:sz w:val="21"/>
                      <w:szCs w:val="21"/>
                      <w14:textFill>
                        <w14:solidFill>
                          <w14:schemeClr w14:val="tx1"/>
                        </w14:solidFill>
                      </w14:textFill>
                    </w:rPr>
                    <w:t>废水产生情况</w:t>
                  </w:r>
                </w:p>
              </w:tc>
              <w:tc>
                <w:tcPr>
                  <w:tcW w:w="661" w:type="pct"/>
                  <w:vMerge w:val="restart"/>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9308.76</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362.64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73.43</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26.31</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77.26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134.35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151.81</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5.914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429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06"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本次评价要求</w:t>
                  </w:r>
                  <w:r>
                    <w:rPr>
                      <w:rFonts w:hint="default" w:ascii="Times New Roman" w:hAnsi="Times New Roman" w:eastAsia="宋体" w:cs="Times New Roman"/>
                      <w:color w:val="000000" w:themeColor="text1"/>
                      <w:sz w:val="21"/>
                      <w:szCs w:val="21"/>
                      <w14:textFill>
                        <w14:solidFill>
                          <w14:schemeClr w14:val="tx1"/>
                        </w14:solidFill>
                      </w14:textFill>
                    </w:rPr>
                    <w:t>采取的措施</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格栅+调节+</w:t>
                  </w:r>
                  <w:r>
                    <w:rPr>
                      <w:rFonts w:hint="eastAsia" w:cs="Times New Roman"/>
                      <w:color w:val="000000" w:themeColor="text1"/>
                      <w:sz w:val="2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厌氧+好氧+二次沉淀+清水池（消毒）+砂过滤</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去除效率%</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9</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5</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06"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处理后排放量</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处理后排放量：t/a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1.518</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0.296</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0.305</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0.315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14:textFill>
                        <w14:solidFill>
                          <w14:schemeClr w14:val="tx1"/>
                        </w14:solidFill>
                      </w14:textFill>
                    </w:rPr>
                    <w:t>1.315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处理后的浓度</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处理后的浓度</w:t>
                  </w:r>
                  <w:r>
                    <w:rPr>
                      <w:rFonts w:hint="default" w:ascii="Times New Roman" w:hAnsi="Times New Roman" w:eastAsia="宋体" w:cs="Times New Roman"/>
                      <w:color w:val="000000" w:themeColor="text1"/>
                      <w:sz w:val="21"/>
                      <w:szCs w:val="21"/>
                      <w14:textFill>
                        <w14:solidFill>
                          <w14:schemeClr w14:val="tx1"/>
                        </w14:solidFill>
                      </w14:textFill>
                    </w:rPr>
                    <w:t>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94</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18</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5.3</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19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1108" w:type="pct"/>
                  <w:gridSpan w:val="2"/>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污水综合排放</w:t>
                  </w:r>
                  <w:r>
                    <w:rPr>
                      <w:rFonts w:hint="default" w:ascii="Times New Roman" w:hAnsi="Times New Roman" w:eastAsia="宋体" w:cs="Times New Roman"/>
                      <w:bCs/>
                      <w:color w:val="000000" w:themeColor="text1"/>
                      <w:sz w:val="21"/>
                      <w:szCs w:val="21"/>
                      <w14:textFill>
                        <w14:solidFill>
                          <w14:schemeClr w14:val="tx1"/>
                        </w14:solidFill>
                      </w14:textFill>
                    </w:rPr>
                    <w:t>标准》（GB</w:t>
                  </w:r>
                  <w:r>
                    <w:rPr>
                      <w:rFonts w:hint="eastAsia" w:cs="Times New Roman"/>
                      <w:bCs/>
                      <w:color w:val="000000" w:themeColor="text1"/>
                      <w:sz w:val="21"/>
                      <w:szCs w:val="21"/>
                      <w:lang w:val="en-US" w:eastAsia="zh-CN"/>
                      <w14:textFill>
                        <w14:solidFill>
                          <w14:schemeClr w14:val="tx1"/>
                        </w14:solidFill>
                      </w14:textFill>
                    </w:rPr>
                    <w:t>8978</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1996</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标准</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00</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70</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15</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1108" w:type="pct"/>
                  <w:gridSpan w:val="2"/>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是否达标</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达标</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spacing w:line="360" w:lineRule="auto"/>
              <w:ind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（2）废水治理措施技术可行性分析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项目厂区内实现雨污分流制，雨水由雨水斗及雨水立管收集后与室外雨水汇合</w:t>
            </w:r>
            <w:r>
              <w:rPr>
                <w:rFonts w:hint="default" w:ascii="Times New Roman" w:hAnsi="Times New Roman" w:eastAsia="宋体" w:cs="Times New Roman"/>
                <w:color w:val="000000" w:themeColor="text1"/>
                <w:sz w:val="24"/>
                <w:lang w:val="en-US" w:eastAsia="zh-CN"/>
                <w14:textFill>
                  <w14:solidFill>
                    <w14:schemeClr w14:val="tx1"/>
                  </w14:solidFill>
                </w14:textFill>
              </w:rPr>
              <w:t>周边的雨水沟</w:t>
            </w:r>
            <w:r>
              <w:rPr>
                <w:rFonts w:hint="default" w:ascii="Times New Roman" w:hAnsi="Times New Roman" w:eastAsia="宋体" w:cs="Times New Roman"/>
                <w:color w:val="000000" w:themeColor="text1"/>
                <w:sz w:val="24"/>
                <w14:textFill>
                  <w14:solidFill>
                    <w14:schemeClr w14:val="tx1"/>
                  </w14:solidFill>
                </w14:textFill>
              </w:rPr>
              <w:t>。根据工程分析可知，本项目外排废水主要为员工生活污水及生产废水，根据工程分析可知，本项目全厂</w:t>
            </w:r>
            <w:r>
              <w:rPr>
                <w:rFonts w:hint="default" w:ascii="Times New Roman" w:hAnsi="Times New Roman" w:eastAsia="宋体" w:cs="Times New Roman"/>
                <w:color w:val="000000" w:themeColor="text1"/>
                <w:sz w:val="24"/>
                <w:lang w:val="en-US" w:eastAsia="zh-CN"/>
                <w14:textFill>
                  <w14:solidFill>
                    <w14:schemeClr w14:val="tx1"/>
                  </w14:solidFill>
                </w14:textFill>
              </w:rPr>
              <w:t>综合</w:t>
            </w:r>
            <w:r>
              <w:rPr>
                <w:rFonts w:hint="default" w:ascii="Times New Roman" w:hAnsi="Times New Roman" w:eastAsia="宋体" w:cs="Times New Roman"/>
                <w:color w:val="000000" w:themeColor="text1"/>
                <w:sz w:val="24"/>
                <w14:textFill>
                  <w14:solidFill>
                    <w14:schemeClr w14:val="tx1"/>
                  </w14:solidFill>
                </w14:textFill>
              </w:rPr>
              <w:t>废水</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14:textFill>
                  <w14:solidFill>
                    <w14:schemeClr w14:val="tx1"/>
                  </w14:solidFill>
                </w14:textFill>
              </w:rPr>
              <w:t>量为</w:t>
            </w:r>
            <w:r>
              <w:rPr>
                <w:rFonts w:hint="eastAsia" w:ascii="Times New Roman" w:hAnsi="Times New Roman" w:eastAsia="宋体" w:cs="Times New Roman"/>
                <w:color w:val="000000" w:themeColor="text1"/>
                <w:sz w:val="24"/>
                <w:lang w:val="en-US" w:eastAsia="zh-CN"/>
                <w14:textFill>
                  <w14:solidFill>
                    <w14:schemeClr w14:val="tx1"/>
                  </w14:solidFill>
                </w14:textFill>
              </w:rPr>
              <w:t>16308.3</w:t>
            </w:r>
            <w:r>
              <w:rPr>
                <w:rFonts w:hint="default"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54.361</w:t>
            </w:r>
            <w:r>
              <w:rPr>
                <w:rFonts w:hint="default" w:ascii="Times New Roman" w:hAnsi="Times New Roman" w:eastAsia="宋体" w:cs="Times New Roman"/>
                <w:color w:val="000000" w:themeColor="text1"/>
                <w:sz w:val="24"/>
                <w14:textFill>
                  <w14:solidFill>
                    <w14:schemeClr w14:val="tx1"/>
                  </w14:solidFill>
                </w14:textFill>
              </w:rPr>
              <w:t>t/d），本项目设计的污水处理站的处理规模为</w:t>
            </w:r>
            <w:r>
              <w:rPr>
                <w:rFonts w:hint="eastAsia" w:cs="Times New Roman"/>
                <w:color w:val="000000" w:themeColor="text1"/>
                <w:sz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/d，能够满足本项目的污水处理的需求。</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排水路径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废水经过自建的污水处理站</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kern w:val="0"/>
                <w:sz w:val="24"/>
                <w:lang w:eastAsia="zh-CN"/>
                <w14:textFill>
                  <w14:solidFill>
                    <w14:schemeClr w14:val="tx1"/>
                  </w14:solidFill>
                </w14:textFill>
              </w:rPr>
              <w:t>目前</w:t>
            </w:r>
            <w:r>
              <w:rPr>
                <w:rFonts w:hint="default" w:ascii="Times New Roman" w:hAnsi="Times New Roman" w:eastAsia="宋体" w:cs="Times New Roman"/>
                <w:color w:val="000000" w:themeColor="text1"/>
                <w:kern w:val="0"/>
                <w:sz w:val="24"/>
                <w14:textFill>
                  <w14:solidFill>
                    <w14:schemeClr w14:val="tx1"/>
                  </w14:solidFill>
                </w14:textFill>
              </w:rPr>
              <w:t>采用</w:t>
            </w:r>
            <w:r>
              <w:rPr>
                <w:rFonts w:hint="eastAsia"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格栅+调节+絮凝沉淀+厌氧+好氧+二次沉淀+清水池（消毒）+砂过滤</w:t>
            </w:r>
            <w:r>
              <w:rPr>
                <w:rFonts w:hint="default" w:ascii="Times New Roman" w:hAnsi="Times New Roman" w:eastAsia="宋体" w:cs="Times New Roman"/>
                <w:color w:val="000000" w:themeColor="text1"/>
                <w:kern w:val="0"/>
                <w:sz w:val="24"/>
                <w14:textFill>
                  <w14:solidFill>
                    <w14:schemeClr w14:val="tx1"/>
                  </w14:solidFill>
                </w14:textFill>
              </w:rPr>
              <w:t>→出水</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工艺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处理后满足</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cs="Times New Roman"/>
                <w:color w:val="000000" w:themeColor="text1"/>
                <w:sz w:val="24"/>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1996）表4一级标准，达标后排入黄蜡河</w:t>
            </w:r>
            <w:r>
              <w:rPr>
                <w:rFonts w:hint="default" w:ascii="Times New Roman" w:hAnsi="Times New Roman" w:eastAsia="宋体" w:cs="Times New Roman"/>
                <w:color w:val="000000" w:themeColor="text1"/>
                <w:sz w:val="24"/>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①污水处理站的工艺流程简述：</w:t>
            </w:r>
          </w:p>
          <w:p>
            <w:pPr>
              <w:pStyle w:val="42"/>
              <w:jc w:val="center"/>
              <w:rPr>
                <w:rFonts w:hint="default" w:ascii="Times New Roman" w:hAnsi="Times New Roman" w:eastAsia="宋体" w:cs="Times New Roman"/>
                <w:color w:val="000000" w:themeColor="text1"/>
                <w:lang w:eastAsia="zh-CN"/>
                <w14:textFill>
                  <w14:solidFill>
                    <w14:schemeClr w14:val="tx1"/>
                  </w14:solidFill>
                </w14:textFill>
              </w:rPr>
            </w:pPr>
            <w:r>
              <w:rPr>
                <w:sz w:val="21"/>
              </w:rPr>
              <mc:AlternateContent>
                <mc:Choice Requires="wps">
                  <w:drawing>
                    <wp:anchor distT="0" distB="0" distL="114300" distR="114300" simplePos="0" relativeHeight="251660288" behindDoc="0" locked="0" layoutInCell="1" allowOverlap="1">
                      <wp:simplePos x="0" y="0"/>
                      <wp:positionH relativeFrom="column">
                        <wp:posOffset>3295015</wp:posOffset>
                      </wp:positionH>
                      <wp:positionV relativeFrom="paragraph">
                        <wp:posOffset>3806825</wp:posOffset>
                      </wp:positionV>
                      <wp:extent cx="952500" cy="390525"/>
                      <wp:effectExtent l="4445" t="4445" r="14605" b="5080"/>
                      <wp:wrapNone/>
                      <wp:docPr id="2" name="矩形 2"/>
                      <wp:cNvGraphicFramePr/>
                      <a:graphic xmlns:a="http://schemas.openxmlformats.org/drawingml/2006/main">
                        <a:graphicData uri="http://schemas.microsoft.com/office/word/2010/wordprocessingShape">
                          <wps:wsp>
                            <wps:cNvSpPr/>
                            <wps:spPr>
                              <a:xfrm>
                                <a:off x="4663440" y="4733925"/>
                                <a:ext cx="952500" cy="390525"/>
                              </a:xfrm>
                              <a:prstGeom prst="rect">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排入黄蜡河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45pt;margin-top:299.75pt;height:30.75pt;width:75pt;z-index:251660288;v-text-anchor:middle;mso-width-relative:page;mso-height-relative:page;" fillcolor="#FFFFFF [3212]" filled="t" stroked="t" coordsize="21600,21600" o:gfxdata="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tsU9DaAAAACwEAAA8AAAAAAAAAAQAgAAAAIgAAAGRycy9k&#10;b3ducmV2LnhtbFBLAQIUABQAAAAIAIdO4kD64aHTcgIAAPIEAAAOAAAAAAAAAAEAIAAAACkBAABk&#10;cnMvZTJvRG9jLnhtbFBLBQYAAAAABgAGAFkBAAANBgAAAAA=&#10;">
                      <v:fill on="t" focussize="0,0"/>
                      <v:stroke weight="0.25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排入黄蜡河</w:t>
                            </w:r>
                          </w:p>
                        </w:txbxContent>
                      </v:textbox>
                    </v:rect>
                  </w:pict>
                </mc:Fallback>
              </mc:AlternateContent>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3457575" cy="4246245"/>
                  <wp:effectExtent l="0" t="0" r="9525" b="1905"/>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23"/>
                          <a:stretch>
                            <a:fillRect/>
                          </a:stretch>
                        </pic:blipFill>
                        <pic:spPr>
                          <a:xfrm>
                            <a:off x="0" y="0"/>
                            <a:ext cx="3457575" cy="4246245"/>
                          </a:xfrm>
                          <a:prstGeom prst="rect">
                            <a:avLst/>
                          </a:prstGeom>
                        </pic:spPr>
                      </pic:pic>
                    </a:graphicData>
                  </a:graphic>
                </wp:inline>
              </w:drawing>
            </w:r>
          </w:p>
          <w:p>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w:t>
            </w:r>
            <w:r>
              <w:rPr>
                <w:rFonts w:hint="default" w:ascii="Times New Roman" w:hAnsi="Times New Roman" w:eastAsia="宋体" w:cs="Times New Roman"/>
                <w:b/>
                <w:bCs w:val="0"/>
                <w:color w:val="000000" w:themeColor="text1"/>
                <w:sz w:val="24"/>
                <w14:textFill>
                  <w14:solidFill>
                    <w14:schemeClr w14:val="tx1"/>
                  </w14:solidFill>
                </w14:textFill>
              </w:rPr>
              <w:t xml:space="preserve">4-4  </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本</w:t>
            </w:r>
            <w:r>
              <w:rPr>
                <w:rFonts w:hint="default" w:ascii="Times New Roman" w:hAnsi="Times New Roman" w:eastAsia="宋体" w:cs="Times New Roman"/>
                <w:b/>
                <w:bCs w:val="0"/>
                <w:color w:val="000000" w:themeColor="text1"/>
                <w:sz w:val="24"/>
                <w14:textFill>
                  <w14:solidFill>
                    <w14:schemeClr w14:val="tx1"/>
                  </w14:solidFill>
                </w14:textFill>
              </w:rPr>
              <w:t>项目</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自建的</w:t>
            </w:r>
            <w:r>
              <w:rPr>
                <w:rFonts w:hint="default" w:ascii="Times New Roman" w:hAnsi="Times New Roman" w:eastAsia="宋体" w:cs="Times New Roman"/>
                <w:b/>
                <w:bCs w:val="0"/>
                <w:color w:val="000000" w:themeColor="text1"/>
                <w:sz w:val="24"/>
                <w14:textFill>
                  <w14:solidFill>
                    <w14:schemeClr w14:val="tx1"/>
                  </w14:solidFill>
                </w14:textFill>
              </w:rPr>
              <w:t>污水处理站</w:t>
            </w:r>
            <w:r>
              <w:rPr>
                <w:rFonts w:hint="eastAsia" w:cs="Times New Roman"/>
                <w:b/>
                <w:bCs w:val="0"/>
                <w:color w:val="000000" w:themeColor="text1"/>
                <w:sz w:val="24"/>
                <w:lang w:eastAsia="zh-CN"/>
                <w14:textFill>
                  <w14:solidFill>
                    <w14:schemeClr w14:val="tx1"/>
                  </w14:solidFill>
                </w14:textFill>
              </w:rPr>
              <w:t>的</w:t>
            </w:r>
            <w:r>
              <w:rPr>
                <w:rFonts w:hint="default" w:ascii="Times New Roman" w:hAnsi="Times New Roman" w:eastAsia="宋体" w:cs="Times New Roman"/>
                <w:b/>
                <w:color w:val="000000" w:themeColor="text1"/>
                <w:sz w:val="24"/>
                <w14:textFill>
                  <w14:solidFill>
                    <w14:schemeClr w14:val="tx1"/>
                  </w14:solidFill>
                </w14:textFill>
              </w:rPr>
              <w:t>工艺流程图</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工艺流程简述：</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格栅</w:t>
            </w:r>
          </w:p>
          <w:p>
            <w:pPr>
              <w:widowControl/>
              <w:spacing w:line="360" w:lineRule="auto"/>
              <w:ind w:firstLine="480" w:firstLineChars="20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格栅</w:t>
            </w:r>
            <w:r>
              <w:rPr>
                <w:rFonts w:hint="default" w:ascii="Times New Roman" w:hAnsi="Times New Roman" w:eastAsia="宋体" w:cs="Times New Roman"/>
                <w:color w:val="000000" w:themeColor="text1"/>
                <w:sz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金属栅条、塑料齿钩或金属筛网、框架及相关组成。安装在污水渠道前段，用来留污水中较粗大漂浮物、纤维和固体颗粒物质，防止堵塞和缠绕水泵机组、曝气器、管道阀门、处理构筑物配水设施、近出水口，减少后续处理产生的浮渣，保证污水处理设施的正常运行</w:t>
            </w:r>
            <w:r>
              <w:rPr>
                <w:rFonts w:hint="default" w:ascii="Times New Roman" w:hAnsi="Times New Roman" w:eastAsia="宋体" w:cs="Times New Roman"/>
                <w:color w:val="000000" w:themeColor="text1"/>
                <w:sz w:val="24"/>
                <w:lang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B、调节池</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废水的日变化量较大，各时期的废水排放量及排放的水质均不一致，造成废水水质、水量波动很大，因此只有足够的调节池容量才能使进入生化处理的水质、水量稳定，在工艺中设置一座调节池。废水进入调节池，在池中进行水质、水量调节及均衡，保证进入生化系统水质、水量的稳定。调节池设有旁通，以备检修及事故等状态下使用。调节池内设有一台潜污泵，用以提升废水进入后级处理系统。</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C</w:t>
            </w:r>
            <w:r>
              <w:rPr>
                <w:rFonts w:hint="default" w:ascii="Times New Roman" w:hAnsi="Times New Roman" w:eastAsia="宋体" w:cs="Times New Roman"/>
                <w:color w:val="000000" w:themeColor="text1"/>
                <w:sz w:val="24"/>
                <w14:textFill>
                  <w14:solidFill>
                    <w14:schemeClr w14:val="tx1"/>
                  </w14:solidFill>
                </w14:textFill>
              </w:rPr>
              <w:t>、絮凝沉淀池：</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在絮凝剂的作用下，使废水中的胶体和细微悬浮物凝聚成絮凝体，从而加快粒子的聚沉，达到固-液分离，然后经重力沉降，予以分离去除。絮凝沉淀池可高效去除水中的悬浮物，减轻了后续沉淀池的负荷</w:t>
            </w:r>
            <w:r>
              <w:rPr>
                <w:rFonts w:hint="eastAsia" w:ascii="Times New Roman" w:hAnsi="Times New Roman" w:eastAsia="宋体" w:cs="Times New Roman"/>
                <w:color w:val="000000" w:themeColor="text1"/>
                <w:sz w:val="24"/>
                <w:lang w:eastAsia="zh-CN"/>
                <w14:textFill>
                  <w14:solidFill>
                    <w14:schemeClr w14:val="tx1"/>
                  </w14:solidFill>
                </w14:textFill>
              </w:rPr>
              <w:t>，同时对</w:t>
            </w:r>
            <w:r>
              <w:rPr>
                <w:rFonts w:hint="eastAsia" w:ascii="Times New Roman" w:hAnsi="Times New Roman" w:eastAsia="宋体" w:cs="Times New Roman"/>
                <w:color w:val="000000" w:themeColor="text1"/>
                <w:sz w:val="24"/>
                <w:lang w:val="en-US" w:eastAsia="zh-CN"/>
                <w14:textFill>
                  <w14:solidFill>
                    <w14:schemeClr w14:val="tx1"/>
                  </w14:solidFill>
                </w14:textFill>
              </w:rPr>
              <w:t>COD也起到一定的降解作用</w:t>
            </w:r>
            <w:r>
              <w:rPr>
                <w:rFonts w:hint="eastAsia" w:cs="Times New Roman"/>
                <w:color w:val="000000" w:themeColor="text1"/>
                <w:sz w:val="24"/>
                <w:lang w:val="en-US" w:eastAsia="zh-CN"/>
                <w14:textFill>
                  <w14:solidFill>
                    <w14:schemeClr w14:val="tx1"/>
                  </w14:solidFill>
                </w14:textFill>
              </w:rPr>
              <w:t>；絮凝沉淀对本类（米粉加工）废水的COD</w:t>
            </w:r>
            <w:r>
              <w:rPr>
                <w:rFonts w:hint="eastAsia" w:ascii="Times New Roman" w:hAnsi="Times New Roman" w:eastAsia="宋体" w:cs="Times New Roman"/>
                <w:color w:val="000000" w:themeColor="text1"/>
                <w:sz w:val="24"/>
                <w:lang w:val="en-US" w:eastAsia="zh-CN"/>
                <w14:textFill>
                  <w14:solidFill>
                    <w14:schemeClr w14:val="tx1"/>
                  </w14:solidFill>
                </w14:textFill>
              </w:rPr>
              <w:t>去除效率一般在</w:t>
            </w:r>
            <w:r>
              <w:rPr>
                <w:rFonts w:hint="eastAsia"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30%</w:t>
            </w:r>
            <w:r>
              <w:rPr>
                <w:rFonts w:hint="eastAsia" w:cs="Times New Roman"/>
                <w:color w:val="000000" w:themeColor="text1"/>
                <w:sz w:val="24"/>
                <w:lang w:val="en-US" w:eastAsia="zh-CN"/>
                <w14:textFill>
                  <w14:solidFill>
                    <w14:schemeClr w14:val="tx1"/>
                  </w14:solidFill>
                </w14:textFill>
              </w:rPr>
              <w:t>之间</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、厌氧池</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废水进入厌氧池，由池底向上流动，经过细菌形成的污泥层，污泥层对有机物进行吸附、网捕、生物学絮凝、生物降解作用，使废水在降解COD的同时也能部分澄清</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本项目废水属于米粉加工废水，废水中的COD比较容易降解，</w:t>
            </w:r>
            <w:r>
              <w:rPr>
                <w:rFonts w:hint="eastAsia" w:cs="Times New Roman"/>
                <w:color w:val="000000" w:themeColor="text1"/>
                <w:sz w:val="24"/>
                <w:lang w:eastAsia="zh-CN"/>
                <w14:textFill>
                  <w14:solidFill>
                    <w14:schemeClr w14:val="tx1"/>
                  </w14:solidFill>
                </w14:textFill>
              </w:rPr>
              <w:t>厌氧池对</w:t>
            </w:r>
            <w:r>
              <w:rPr>
                <w:rFonts w:hint="eastAsia" w:cs="Times New Roman"/>
                <w:color w:val="000000" w:themeColor="text1"/>
                <w:sz w:val="24"/>
                <w:lang w:val="en-US" w:eastAsia="zh-CN"/>
                <w14:textFill>
                  <w14:solidFill>
                    <w14:schemeClr w14:val="tx1"/>
                  </w14:solidFill>
                </w14:textFill>
              </w:rPr>
              <w:t>该类废水中COD的去除率一般可高达80%。</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E</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好氧</w:t>
            </w:r>
            <w:r>
              <w:rPr>
                <w:rFonts w:hint="default" w:ascii="Times New Roman" w:hAnsi="Times New Roman" w:eastAsia="宋体" w:cs="Times New Roman"/>
                <w:color w:val="000000" w:themeColor="text1"/>
                <w:sz w:val="24"/>
                <w14:textFill>
                  <w14:solidFill>
                    <w14:schemeClr w14:val="tx1"/>
                  </w14:solidFill>
                </w14:textFill>
              </w:rPr>
              <w:t>池</w:t>
            </w:r>
          </w:p>
          <w:p>
            <w:pPr>
              <w:widowControl/>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生物接触氧化池内设置填料，填料淹没在污水中，填料上长满生物膜，污水与生物膜接触过程中，水中的有机物被微生物吸附、氧化分解和转化为新的生物膜。从填料上脱落的生物膜，随水流到二沉池后被去除，污水得到净化。接触氧化池的构造主要有池体、填料、和进水布气装置等组成。池体用于设置填料、布水布气装置和支撑填料的支架。生物接触氧化法有以下优点：由于填料的比表面积大，池内的充氧条件良好；具有较高的容积负荷；生物接触氧化法不需要污泥回流，不存在污泥膨胀的问题，运行管理简便；由于生物固体量多，水流又属完全混合型，因此生物接触氧化池对水质水量的骤变有较强的适应能力；生物接触氧化池有机容积负荷较高时，其F/M保持在较低水平，污泥产率较低</w:t>
            </w:r>
            <w:r>
              <w:rPr>
                <w:rFonts w:hint="eastAsia" w:cs="Times New Roman"/>
                <w:color w:val="000000" w:themeColor="text1"/>
                <w:sz w:val="24"/>
                <w:lang w:eastAsia="zh-CN"/>
                <w14:textFill>
                  <w14:solidFill>
                    <w14:schemeClr w14:val="tx1"/>
                  </w14:solidFill>
                </w14:textFill>
              </w:rPr>
              <w:t>，好氧池对</w:t>
            </w:r>
            <w:r>
              <w:rPr>
                <w:rFonts w:hint="eastAsia" w:cs="Times New Roman"/>
                <w:color w:val="000000" w:themeColor="text1"/>
                <w:sz w:val="24"/>
                <w:lang w:val="en-US" w:eastAsia="zh-CN"/>
                <w14:textFill>
                  <w14:solidFill>
                    <w14:schemeClr w14:val="tx1"/>
                  </w14:solidFill>
                </w14:textFill>
              </w:rPr>
              <w:t>本类（米粉加工）废水COD的去除率一般在70%左右。</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本设计采用国际上先进的立体弹性填料，不仅比表面积大，且水流特性优越。</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F</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二</w:t>
            </w:r>
            <w:r>
              <w:rPr>
                <w:rFonts w:hint="default" w:ascii="Times New Roman" w:hAnsi="Times New Roman" w:eastAsia="宋体" w:cs="Times New Roman"/>
                <w:color w:val="000000" w:themeColor="text1"/>
                <w:sz w:val="24"/>
                <w:lang w:val="en-US" w:eastAsia="zh-CN"/>
                <w14:textFill>
                  <w14:solidFill>
                    <w14:schemeClr w14:val="tx1"/>
                  </w14:solidFill>
                </w14:textFill>
              </w:rPr>
              <w:t>沉淀池</w:t>
            </w:r>
          </w:p>
          <w:p>
            <w:pPr>
              <w:widowControl/>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整个系统的处理效率与二沉池的设计和运行密切相关，在功能上要同时满足澄清（固液分离）和污泥浓缩（提高回流污泥的含固率）两方面的要求，它的工作效果将直接影响出水水质和回流污泥浓度</w:t>
            </w:r>
            <w:r>
              <w:rPr>
                <w:rFonts w:hint="eastAsia" w:cs="Times New Roman"/>
                <w:color w:val="000000" w:themeColor="text1"/>
                <w:sz w:val="24"/>
                <w:lang w:val="en-US"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清水池</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清水池即消毒池，设置的目的是该池按消毒池设计，内设消毒装置，导流板。沉淀池池出水流入消毒池进行消毒。</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本项目生产废水处理设施主要采用"</w:t>
            </w:r>
            <w:r>
              <w:rPr>
                <w:rFonts w:hint="eastAsia" w:ascii="Times New Roman" w:hAnsi="Times New Roman" w:eastAsia="宋体" w:cs="Times New Roman"/>
                <w:color w:val="000000" w:themeColor="text1"/>
                <w:sz w:val="24"/>
                <w:lang w:val="en-US" w:eastAsia="zh-CN"/>
                <w14:textFill>
                  <w14:solidFill>
                    <w14:schemeClr w14:val="tx1"/>
                  </w14:solidFill>
                </w14:textFill>
              </w:rPr>
              <w:t>格栅+调节+</w:t>
            </w:r>
            <w:r>
              <w:rPr>
                <w:rFonts w:hint="eastAsia" w:cs="Times New Roman"/>
                <w:color w:val="000000" w:themeColor="text1"/>
                <w:sz w:val="24"/>
                <w:lang w:val="en-US" w:eastAsia="zh-CN"/>
                <w14:textFill>
                  <w14:solidFill>
                    <w14:schemeClr w14:val="tx1"/>
                  </w14:solidFill>
                </w14:textFill>
              </w:rPr>
              <w:t>絮凝沉淀+</w:t>
            </w:r>
            <w:r>
              <w:rPr>
                <w:rFonts w:hint="eastAsia" w:ascii="Times New Roman" w:hAnsi="Times New Roman" w:eastAsia="宋体" w:cs="Times New Roman"/>
                <w:color w:val="000000" w:themeColor="text1"/>
                <w:sz w:val="24"/>
                <w:lang w:val="en-US" w:eastAsia="zh-CN"/>
                <w14:textFill>
                  <w14:solidFill>
                    <w14:schemeClr w14:val="tx1"/>
                  </w14:solidFill>
                </w14:textFill>
              </w:rPr>
              <w:t>厌氧+好氧+二次沉淀+清水池（消毒）+砂过滤</w:t>
            </w:r>
            <w:r>
              <w:rPr>
                <w:rFonts w:hint="default" w:ascii="Times New Roman" w:hAnsi="Times New Roman" w:eastAsia="宋体" w:cs="Times New Roman"/>
                <w:color w:val="000000" w:themeColor="text1"/>
                <w:sz w:val="24"/>
                <w14:textFill>
                  <w14:solidFill>
                    <w14:schemeClr w14:val="tx1"/>
                  </w14:solidFill>
                </w14:textFill>
              </w:rPr>
              <w:t>"处理工艺，参照《排污许可证申请与核发技术规范 食品制造工业—方便食品、食品及饲料添加剂制造工业》（HJ1030.3—2019）A1方便食品制造工业废水污染防治可行技术参考表，</w:t>
            </w:r>
            <w:r>
              <w:rPr>
                <w:rFonts w:hint="eastAsia"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采用的</w:t>
            </w:r>
            <w:r>
              <w:rPr>
                <w:rFonts w:hint="default" w:ascii="Times New Roman" w:hAnsi="Times New Roman" w:eastAsia="宋体" w:cs="Times New Roman"/>
                <w:color w:val="000000" w:themeColor="text1"/>
                <w:sz w:val="24"/>
                <w14:textFill>
                  <w14:solidFill>
                    <w14:schemeClr w14:val="tx1"/>
                  </w14:solidFill>
                </w14:textFill>
              </w:rPr>
              <w:t>废水处理工艺属于可行技术。</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排水路径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废水经过自建的污水处理站处理后满足</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cs="Times New Roman"/>
                <w:color w:val="000000" w:themeColor="text1"/>
                <w:sz w:val="24"/>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1996）表4一级标准，达标后排入黄蜡河</w:t>
            </w:r>
            <w:r>
              <w:rPr>
                <w:rFonts w:hint="default" w:ascii="Times New Roman" w:hAnsi="Times New Roman" w:eastAsia="宋体" w:cs="Times New Roman"/>
                <w:color w:val="000000" w:themeColor="text1"/>
                <w:sz w:val="24"/>
                <w14:textFill>
                  <w14:solidFill>
                    <w14:schemeClr w14:val="tx1"/>
                  </w14:solidFill>
                </w14:textFill>
              </w:rPr>
              <w:t>。</w:t>
            </w:r>
          </w:p>
          <w:p>
            <w:pPr>
              <w:pStyle w:val="96"/>
              <w:ind w:firstLine="482"/>
              <w:outlineLvl w:val="0"/>
              <w:rPr>
                <w:rFonts w:hint="default" w:ascii="Times New Roman" w:hAnsi="Times New Roman" w:eastAsia="宋体" w:cs="Times New Roman"/>
                <w:b/>
                <w:bCs/>
                <w:color w:val="000000" w:themeColor="text1"/>
                <w14:textFill>
                  <w14:solidFill>
                    <w14:schemeClr w14:val="tx1"/>
                  </w14:solidFill>
                </w14:textFill>
              </w:rPr>
            </w:pPr>
            <w:bookmarkStart w:id="52" w:name="_Toc30742"/>
            <w:bookmarkStart w:id="53" w:name="_Toc27904"/>
            <w:bookmarkStart w:id="54" w:name="_Toc111444409"/>
            <w:bookmarkStart w:id="55" w:name="_Toc111457504"/>
            <w:bookmarkStart w:id="56" w:name="_Toc23473"/>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废水污染物排放信息</w:t>
            </w:r>
            <w:bookmarkEnd w:id="52"/>
            <w:bookmarkEnd w:id="53"/>
            <w:bookmarkEnd w:id="54"/>
            <w:bookmarkEnd w:id="55"/>
            <w:bookmarkEnd w:id="56"/>
          </w:p>
          <w:p>
            <w:pPr>
              <w:pStyle w:val="98"/>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表4-</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4"/>
                <w:szCs w:val="24"/>
                <w14:textFill>
                  <w14:solidFill>
                    <w14:schemeClr w14:val="tx1"/>
                  </w14:solidFill>
                </w14:textFill>
              </w:rPr>
              <w:t xml:space="preserve">   废水类别、污染物及污染治理设施信息表</w:t>
            </w:r>
          </w:p>
          <w:tbl>
            <w:tblPr>
              <w:tblStyle w:val="33"/>
              <w:tblW w:w="495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388"/>
              <w:gridCol w:w="677"/>
              <w:gridCol w:w="738"/>
              <w:gridCol w:w="795"/>
              <w:gridCol w:w="687"/>
              <w:gridCol w:w="782"/>
              <w:gridCol w:w="666"/>
              <w:gridCol w:w="900"/>
              <w:gridCol w:w="803"/>
              <w:gridCol w:w="677"/>
              <w:gridCol w:w="10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序号</w:t>
                  </w:r>
                </w:p>
              </w:tc>
              <w:tc>
                <w:tcPr>
                  <w:tcW w:w="416"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废水类别（a）</w:t>
                  </w:r>
                </w:p>
              </w:tc>
              <w:tc>
                <w:tcPr>
                  <w:tcW w:w="453"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污染物种类（b）</w:t>
                  </w:r>
                </w:p>
              </w:tc>
              <w:tc>
                <w:tcPr>
                  <w:tcW w:w="488"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排放去向（c）</w:t>
                  </w:r>
                </w:p>
              </w:tc>
              <w:tc>
                <w:tcPr>
                  <w:tcW w:w="422"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排放规律（d）</w:t>
                  </w:r>
                </w:p>
              </w:tc>
              <w:tc>
                <w:tcPr>
                  <w:tcW w:w="1442" w:type="pct"/>
                  <w:gridSpan w:val="3"/>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污染治理设施</w:t>
                  </w:r>
                </w:p>
              </w:tc>
              <w:tc>
                <w:tcPr>
                  <w:tcW w:w="493"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排放口编号（f）</w:t>
                  </w:r>
                </w:p>
              </w:tc>
              <w:tc>
                <w:tcPr>
                  <w:tcW w:w="416"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排放口设置是否符合要求（g）</w:t>
                  </w:r>
                </w:p>
              </w:tc>
              <w:tc>
                <w:tcPr>
                  <w:tcW w:w="630" w:type="pct"/>
                  <w:vMerge w:val="restar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16"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53"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88"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22"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80" w:type="pc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污染治理设施编号</w:t>
                  </w:r>
                </w:p>
              </w:tc>
              <w:tc>
                <w:tcPr>
                  <w:tcW w:w="409" w:type="pc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污染治理设施名称（e）</w:t>
                  </w:r>
                </w:p>
              </w:tc>
              <w:tc>
                <w:tcPr>
                  <w:tcW w:w="553" w:type="pct"/>
                  <w:vAlign w:val="center"/>
                </w:tcPr>
                <w:p>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污染治理设施工艺</w:t>
                  </w:r>
                </w:p>
              </w:tc>
              <w:tc>
                <w:tcPr>
                  <w:tcW w:w="493"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416"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c>
                <w:tcPr>
                  <w:tcW w:w="630" w:type="pct"/>
                  <w:vMerge w:val="continue"/>
                  <w:vAlign w:val="center"/>
                </w:tcPr>
                <w:p>
                  <w:pPr>
                    <w:widowControl/>
                    <w:jc w:val="left"/>
                    <w:rPr>
                      <w:rFonts w:hint="default"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1591" w:hRule="atLeast"/>
              </w:trPr>
              <w:tc>
                <w:tcPr>
                  <w:tcW w:w="239" w:type="pc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416" w:type="pc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生产废水</w:t>
                  </w:r>
                </w:p>
              </w:tc>
              <w:tc>
                <w:tcPr>
                  <w:tcW w:w="453" w:type="pct"/>
                  <w:vMerge w:val="restart"/>
                  <w:vAlign w:val="center"/>
                </w:tcPr>
                <w:p>
                  <w:pPr>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COD</w:t>
                  </w:r>
                  <w:r>
                    <w:rPr>
                      <w:rFonts w:hint="default" w:ascii="Times New Roman" w:hAnsi="Times New Roman" w:eastAsia="宋体" w:cs="Times New Roman"/>
                      <w:snapToGrid w:val="0"/>
                      <w:color w:val="000000" w:themeColor="text1"/>
                      <w:szCs w:val="21"/>
                      <w:vertAlign w:val="subscript"/>
                      <w14:textFill>
                        <w14:solidFill>
                          <w14:schemeClr w14:val="tx1"/>
                        </w14:solidFill>
                      </w14:textFill>
                    </w:rPr>
                    <w:t>Cr</w:t>
                  </w:r>
                </w:p>
                <w:p>
                  <w:pPr>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BOD</w:t>
                  </w:r>
                  <w:r>
                    <w:rPr>
                      <w:rFonts w:hint="default" w:ascii="Times New Roman" w:hAnsi="Times New Roman" w:eastAsia="宋体" w:cs="Times New Roman"/>
                      <w:snapToGrid w:val="0"/>
                      <w:color w:val="000000" w:themeColor="text1"/>
                      <w:szCs w:val="21"/>
                      <w:vertAlign w:val="subscript"/>
                      <w14:textFill>
                        <w14:solidFill>
                          <w14:schemeClr w14:val="tx1"/>
                        </w14:solidFill>
                      </w14:textFill>
                    </w:rPr>
                    <w:t>5</w:t>
                  </w:r>
                </w:p>
                <w:p>
                  <w:pPr>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SS</w:t>
                  </w:r>
                </w:p>
                <w:p>
                  <w:pPr>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snapToGrid w:val="0"/>
                      <w:color w:val="000000" w:themeColor="text1"/>
                      <w:szCs w:val="21"/>
                      <w14:textFill>
                        <w14:solidFill>
                          <w14:schemeClr w14:val="tx1"/>
                        </w14:solidFill>
                      </w14:textFill>
                    </w:rPr>
                    <w:t>NH</w:t>
                  </w:r>
                  <w:r>
                    <w:rPr>
                      <w:rFonts w:hint="default" w:ascii="Times New Roman" w:hAnsi="Times New Roman" w:eastAsia="宋体" w:cs="Times New Roman"/>
                      <w:bCs/>
                      <w:snapToGrid w:val="0"/>
                      <w:color w:val="000000" w:themeColor="text1"/>
                      <w:szCs w:val="21"/>
                      <w:vertAlign w:val="subscript"/>
                      <w14:textFill>
                        <w14:solidFill>
                          <w14:schemeClr w14:val="tx1"/>
                        </w14:solidFill>
                      </w14:textFill>
                    </w:rPr>
                    <w:t>3</w:t>
                  </w:r>
                  <w:r>
                    <w:rPr>
                      <w:rFonts w:hint="default" w:ascii="Times New Roman" w:hAnsi="Times New Roman" w:eastAsia="宋体" w:cs="Times New Roman"/>
                      <w:bCs/>
                      <w:snapToGrid w:val="0"/>
                      <w:color w:val="000000" w:themeColor="text1"/>
                      <w:szCs w:val="21"/>
                      <w14:textFill>
                        <w14:solidFill>
                          <w14:schemeClr w14:val="tx1"/>
                        </w14:solidFill>
                      </w14:textFill>
                    </w:rPr>
                    <w:t>-N</w:t>
                  </w:r>
                </w:p>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TP</w:t>
                  </w:r>
                </w:p>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TN等</w:t>
                  </w:r>
                </w:p>
              </w:tc>
              <w:tc>
                <w:tcPr>
                  <w:tcW w:w="488" w:type="pct"/>
                  <w:vMerge w:val="restart"/>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自建污水处理站→</w:t>
                  </w:r>
                  <w:r>
                    <w:rPr>
                      <w:rFonts w:hint="eastAsia" w:cs="Times New Roman"/>
                      <w:color w:val="000000" w:themeColor="text1"/>
                      <w:szCs w:val="21"/>
                      <w:lang w:val="en-US" w:eastAsia="zh-CN"/>
                      <w14:textFill>
                        <w14:solidFill>
                          <w14:schemeClr w14:val="tx1"/>
                        </w14:solidFill>
                      </w14:textFill>
                    </w:rPr>
                    <w:t>排入附近河流</w:t>
                  </w:r>
                </w:p>
              </w:tc>
              <w:tc>
                <w:tcPr>
                  <w:tcW w:w="422" w:type="pct"/>
                  <w:vMerge w:val="restart"/>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综合利用</w:t>
                  </w:r>
                </w:p>
              </w:tc>
              <w:tc>
                <w:tcPr>
                  <w:tcW w:w="480" w:type="pct"/>
                  <w:vMerge w:val="restar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TW001</w:t>
                  </w:r>
                </w:p>
              </w:tc>
              <w:tc>
                <w:tcPr>
                  <w:tcW w:w="409" w:type="pct"/>
                  <w:vMerge w:val="restar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污水处理站</w:t>
                  </w:r>
                </w:p>
              </w:tc>
              <w:tc>
                <w:tcPr>
                  <w:tcW w:w="553" w:type="pct"/>
                  <w:vMerge w:val="restar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格栅+调节+</w:t>
                  </w:r>
                  <w:r>
                    <w:rPr>
                      <w:rFonts w:hint="eastAsia" w:cs="Times New Roman"/>
                      <w:color w:val="000000" w:themeColor="text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szCs w:val="21"/>
                      <w:lang w:val="en-US" w:eastAsia="zh-CN"/>
                      <w14:textFill>
                        <w14:solidFill>
                          <w14:schemeClr w14:val="tx1"/>
                        </w14:solidFill>
                      </w14:textFill>
                    </w:rPr>
                    <w:t>厌氧+好氧+二次沉淀+清水池（消毒）+砂过滤</w:t>
                  </w:r>
                </w:p>
              </w:tc>
              <w:tc>
                <w:tcPr>
                  <w:tcW w:w="493" w:type="pct"/>
                  <w:vMerge w:val="restart"/>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DW001</w:t>
                  </w:r>
                </w:p>
              </w:tc>
              <w:tc>
                <w:tcPr>
                  <w:tcW w:w="416" w:type="pct"/>
                  <w:vMerge w:val="restar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是</w:t>
                  </w:r>
                </w:p>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□否</w:t>
                  </w:r>
                </w:p>
              </w:tc>
              <w:tc>
                <w:tcPr>
                  <w:tcW w:w="630" w:type="pct"/>
                  <w:vMerge w:val="restart"/>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416" w:type="pct"/>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tc>
              <w:tc>
                <w:tcPr>
                  <w:tcW w:w="453"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88"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22"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80"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09"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553"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93"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416"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c>
                <w:tcPr>
                  <w:tcW w:w="630" w:type="pct"/>
                  <w:vMerge w:val="continue"/>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p>
              </w:tc>
            </w:tr>
          </w:tbl>
          <w:p>
            <w:pPr>
              <w:rPr>
                <w:rFonts w:hint="default" w:ascii="Times New Roman" w:hAnsi="Times New Roman" w:eastAsia="宋体" w:cs="Times New Roman"/>
                <w:color w:val="000000" w:themeColor="text1"/>
                <w14:textFill>
                  <w14:solidFill>
                    <w14:schemeClr w14:val="tx1"/>
                  </w14:solidFill>
                </w14:textFill>
              </w:rPr>
            </w:pPr>
          </w:p>
          <w:p>
            <w:pPr>
              <w:pStyle w:val="96"/>
              <w:ind w:firstLine="482"/>
              <w:outlineLvl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（5）企业自行监测要求</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根据《排污单位自行监测技术指南 总则》（HJ819-2017）</w:t>
            </w:r>
            <w:r>
              <w:rPr>
                <w:rFonts w:hint="default" w:ascii="Times New Roman" w:hAnsi="Times New Roman" w:eastAsia="宋体" w:cs="Times New Roman"/>
                <w:color w:val="000000" w:themeColor="text1"/>
                <w:sz w:val="24"/>
                <w:lang w:val="en-US" w:eastAsia="zh-CN"/>
                <w14:textFill>
                  <w14:solidFill>
                    <w14:schemeClr w14:val="tx1"/>
                  </w14:solidFill>
                </w14:textFill>
              </w:rPr>
              <w:t>和《排污许可证申请与核发技术规范 食品制造工业—方便食品、食品及饲料添加剂制造工业》（HJ1030.3—2019）</w:t>
            </w:r>
            <w:r>
              <w:rPr>
                <w:rFonts w:hint="default" w:ascii="Times New Roman" w:hAnsi="Times New Roman" w:eastAsia="宋体" w:cs="Times New Roman"/>
                <w:color w:val="000000" w:themeColor="text1"/>
                <w:sz w:val="24"/>
                <w14:textFill>
                  <w14:solidFill>
                    <w14:schemeClr w14:val="tx1"/>
                  </w14:solidFill>
                </w14:textFill>
              </w:rPr>
              <w:t>，本单位自行监测计划见下表。</w:t>
            </w:r>
          </w:p>
          <w:p>
            <w:pPr>
              <w:tabs>
                <w:tab w:val="left" w:pos="420"/>
                <w:tab w:val="left" w:pos="630"/>
              </w:tabs>
              <w:ind w:left="902"/>
              <w:jc w:val="center"/>
              <w:rPr>
                <w:rFonts w:hint="default" w:ascii="Times New Roman" w:hAnsi="Times New Roman" w:eastAsia="宋体" w:cs="Times New Roman"/>
                <w:b/>
                <w:color w:val="000000" w:themeColor="text1"/>
                <w:sz w:val="22"/>
                <w14:textFill>
                  <w14:solidFill>
                    <w14:schemeClr w14:val="tx1"/>
                  </w14:solidFill>
                </w14:textFill>
              </w:rPr>
            </w:pPr>
            <w:r>
              <w:rPr>
                <w:rFonts w:hint="default" w:ascii="Times New Roman" w:hAnsi="Times New Roman" w:eastAsia="宋体" w:cs="Times New Roman"/>
                <w:b/>
                <w:color w:val="000000" w:themeColor="text1"/>
                <w:sz w:val="22"/>
                <w14:textFill>
                  <w14:solidFill>
                    <w14:schemeClr w14:val="tx1"/>
                  </w14:solidFill>
                </w14:textFill>
              </w:rPr>
              <w:t>表4-</w:t>
            </w:r>
            <w:r>
              <w:rPr>
                <w:rFonts w:hint="default" w:ascii="Times New Roman" w:hAnsi="Times New Roman" w:eastAsia="宋体" w:cs="Times New Roman"/>
                <w:b/>
                <w:color w:val="000000" w:themeColor="text1"/>
                <w:sz w:val="22"/>
                <w:lang w:val="en-US" w:eastAsia="zh-CN"/>
                <w14:textFill>
                  <w14:solidFill>
                    <w14:schemeClr w14:val="tx1"/>
                  </w14:solidFill>
                </w14:textFill>
              </w:rPr>
              <w:t>9</w:t>
            </w:r>
            <w:r>
              <w:rPr>
                <w:rFonts w:hint="default" w:ascii="Times New Roman" w:hAnsi="Times New Roman" w:eastAsia="宋体" w:cs="Times New Roman"/>
                <w:b/>
                <w:color w:val="000000" w:themeColor="text1"/>
                <w:sz w:val="22"/>
                <w14:textFill>
                  <w14:solidFill>
                    <w14:schemeClr w14:val="tx1"/>
                  </w14:solidFill>
                </w14:textFill>
              </w:rPr>
              <w:t xml:space="preserve">  项目废水污染源自行监测计划一览表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587"/>
              <w:gridCol w:w="2957"/>
              <w:gridCol w:w="1289"/>
              <w:gridCol w:w="13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5"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监测点位</w:t>
                  </w:r>
                </w:p>
              </w:tc>
              <w:tc>
                <w:tcPr>
                  <w:tcW w:w="1800"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监测因子</w:t>
                  </w:r>
                </w:p>
              </w:tc>
              <w:tc>
                <w:tcPr>
                  <w:tcW w:w="785"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监测频次</w:t>
                  </w:r>
                </w:p>
              </w:tc>
              <w:tc>
                <w:tcPr>
                  <w:tcW w:w="838"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实施机构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5" w:type="pct"/>
                  <w:vAlign w:val="center"/>
                </w:tcPr>
                <w:p>
                  <w:pPr>
                    <w:adjustRightIn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废水总排口</w:t>
                  </w:r>
                </w:p>
              </w:tc>
              <w:tc>
                <w:tcPr>
                  <w:tcW w:w="1800" w:type="pct"/>
                  <w:vAlign w:val="center"/>
                </w:tcPr>
                <w:p>
                  <w:pPr>
                    <w:adjustRightIn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pH值、</w:t>
                  </w:r>
                  <w:r>
                    <w:rPr>
                      <w:rFonts w:hint="default" w:ascii="Times New Roman" w:hAnsi="Times New Roman" w:eastAsia="宋体" w:cs="Times New Roman"/>
                      <w:color w:val="000000" w:themeColor="text1"/>
                      <w:kern w:val="0"/>
                      <w:szCs w:val="21"/>
                      <w14:textFill>
                        <w14:solidFill>
                          <w14:schemeClr w14:val="tx1"/>
                        </w14:solidFill>
                      </w14:textFill>
                    </w:rPr>
                    <w:t>COD、BOD</w:t>
                  </w:r>
                  <w:r>
                    <w:rPr>
                      <w:rFonts w:hint="default" w:ascii="Times New Roman" w:hAnsi="Times New Roman" w:eastAsia="宋体" w:cs="Times New Roman"/>
                      <w:color w:val="000000" w:themeColor="text1"/>
                      <w:kern w:val="0"/>
                      <w:szCs w:val="21"/>
                      <w:vertAlign w:val="subscript"/>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、SS、NH</w:t>
                  </w:r>
                  <w:r>
                    <w:rPr>
                      <w:rFonts w:hint="default" w:ascii="Times New Roman" w:hAnsi="Times New Roman" w:eastAsia="宋体" w:cs="Times New Roman"/>
                      <w:color w:val="000000" w:themeColor="text1"/>
                      <w:kern w:val="0"/>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Cs w:val="21"/>
                      <w14:textFill>
                        <w14:solidFill>
                          <w14:schemeClr w14:val="tx1"/>
                        </w14:solidFill>
                      </w14:textFill>
                    </w:rPr>
                    <w:t>-N</w:t>
                  </w:r>
                  <w:r>
                    <w:rPr>
                      <w:rStyle w:val="40"/>
                      <w:rFonts w:hint="default" w:ascii="Times New Roman" w:hAnsi="Times New Roman" w:eastAsia="宋体" w:cs="Times New Roman"/>
                      <w:color w:val="000000" w:themeColor="text1"/>
                      <w:kern w:val="0"/>
                      <w:szCs w:val="20"/>
                      <w:lang w:eastAsia="zh-CN"/>
                      <w14:textFill>
                        <w14:solidFill>
                          <w14:schemeClr w14:val="tx1"/>
                        </w14:solidFill>
                      </w14:textFill>
                    </w:rPr>
                    <w:t>、总磷、总氮</w:t>
                  </w:r>
                </w:p>
              </w:tc>
              <w:tc>
                <w:tcPr>
                  <w:tcW w:w="785"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1次/半年</w:t>
                  </w:r>
                </w:p>
              </w:tc>
              <w:tc>
                <w:tcPr>
                  <w:tcW w:w="838"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有资质单位</w:t>
                  </w:r>
                </w:p>
              </w:tc>
            </w:tr>
          </w:tbl>
          <w:p>
            <w:pPr>
              <w:pStyle w:val="96"/>
              <w:ind w:firstLine="482"/>
              <w:outlineLvl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（6）地表水环境影响评价小结</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本项目产生的废水经过厂内污水处理站处理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w:t>
            </w:r>
            <w:r>
              <w:rPr>
                <w:rFonts w:hint="eastAsia" w:cs="Times New Roman"/>
                <w:color w:val="000000" w:themeColor="text1"/>
                <w:sz w:val="24"/>
                <w:szCs w:val="24"/>
                <w:lang w:val="en-US" w:eastAsia="zh-CN"/>
                <w14:textFill>
                  <w14:solidFill>
                    <w14:schemeClr w14:val="tx1"/>
                  </w14:solidFill>
                </w14:textFill>
              </w:rPr>
              <w:t>，满足</w:t>
            </w:r>
            <w:r>
              <w:rPr>
                <w:rFonts w:hint="eastAsia" w:cs="Times New Roman"/>
                <w:color w:val="000000" w:themeColor="text1"/>
                <w:sz w:val="24"/>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1996）表4一级标准，达标后排入黄蜡河</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4"/>
                <w14:textFill>
                  <w14:solidFill>
                    <w14:schemeClr w14:val="tx1"/>
                  </w14:solidFill>
                </w14:textFill>
              </w:rPr>
              <w:t>本项目废水对周边地表水环境影响较小。</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3、声环境影响和保护措施分析</w:t>
            </w:r>
          </w:p>
          <w:p>
            <w:pPr>
              <w:widowControl w:val="0"/>
              <w:kinsoku/>
              <w:overflowPunct w:val="0"/>
              <w:topLinePunct/>
              <w:spacing w:line="360" w:lineRule="auto"/>
              <w:ind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 噪声源强分析</w:t>
            </w:r>
          </w:p>
          <w:p>
            <w:pPr>
              <w:widowControl w:val="0"/>
              <w:kinsoku/>
              <w:overflowPunct w:val="0"/>
              <w:topLinePunct/>
              <w:spacing w:line="360" w:lineRule="auto"/>
              <w:ind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噪声主要来源于各类加工设备等机械设备，其噪声值范围约为50~80dB(A) ，</w:t>
            </w:r>
            <w:r>
              <w:rPr>
                <w:rFonts w:hint="default" w:ascii="Times New Roman" w:hAnsi="Times New Roman" w:eastAsia="宋体" w:cs="Times New Roman"/>
                <w:color w:val="000000" w:themeColor="text1"/>
                <w:sz w:val="24"/>
                <w14:textFill>
                  <w14:solidFill>
                    <w14:schemeClr w14:val="tx1"/>
                  </w14:solidFill>
                </w14:textFill>
              </w:rPr>
              <w:t>主要机器设备均安置在室内，</w:t>
            </w:r>
            <w:r>
              <w:rPr>
                <w:rFonts w:hint="default" w:ascii="Times New Roman" w:hAnsi="Times New Roman" w:eastAsia="宋体" w:cs="Times New Roman"/>
                <w:color w:val="000000" w:themeColor="text1"/>
                <w:sz w:val="24"/>
                <w:szCs w:val="24"/>
                <w14:textFill>
                  <w14:solidFill>
                    <w14:schemeClr w14:val="tx1"/>
                  </w14:solidFill>
                </w14:textFill>
              </w:rPr>
              <w:t>通过选用符合我国机械设备噪声标准的设备并采用隔声、消声、减振、等降噪措施</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结合项目噪声源的特征及排放特点，根据《环境影响评价技术导则   声环境》(HJ2.4-2021) 的要求，本评价选择点声源预测模式来模拟预测本项目噪声源排放噪声随距离的衰减变化规律。</w:t>
            </w:r>
          </w:p>
          <w:p>
            <w:pPr>
              <w:adjustRightInd w:val="0"/>
              <w:snapToGrid w:val="0"/>
              <w:spacing w:line="360" w:lineRule="auto"/>
              <w:ind w:firstLine="480" w:firstLineChars="200"/>
              <w:rPr>
                <w:kern w:val="0"/>
                <w:sz w:val="24"/>
              </w:rPr>
            </w:pPr>
            <w:r>
              <w:rPr>
                <w:rFonts w:hint="eastAsia"/>
                <w:kern w:val="0"/>
                <w:sz w:val="24"/>
              </w:rPr>
              <w:t>本项目建成后，调查所有声源种类（包括设备型号）与数量、各声源的空间位置、声源的作用时间等，用类比测量法与引用已有的数据相结合确定声源声功率级。本次噪声评价厂界按整个厂界计算。本项目的噪声源情况见表4-14。</w:t>
            </w:r>
          </w:p>
          <w:p>
            <w:pPr>
              <w:tabs>
                <w:tab w:val="left" w:pos="3225"/>
              </w:tabs>
              <w:adjustRightInd w:val="0"/>
              <w:snapToGrid w:val="0"/>
              <w:jc w:val="center"/>
              <w:rPr>
                <w:rFonts w:hint="eastAsia"/>
                <w:b/>
                <w:bCs/>
                <w:szCs w:val="21"/>
              </w:rPr>
            </w:pPr>
            <w:r>
              <w:rPr>
                <w:rFonts w:hint="eastAsia"/>
                <w:b/>
                <w:bCs/>
                <w:szCs w:val="21"/>
              </w:rPr>
              <w:t>表4-14  项目主要噪声源情况一览表单位：dB(A)</w:t>
            </w:r>
          </w:p>
          <w:tbl>
            <w:tblPr>
              <w:tblStyle w:val="3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706"/>
              <w:gridCol w:w="425"/>
              <w:gridCol w:w="576"/>
              <w:gridCol w:w="1176"/>
              <w:gridCol w:w="674"/>
              <w:gridCol w:w="706"/>
              <w:gridCol w:w="537"/>
              <w:gridCol w:w="706"/>
              <w:gridCol w:w="706"/>
              <w:gridCol w:w="79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vMerge w:val="restart"/>
                  <w:noWrap w:val="0"/>
                  <w:vAlign w:val="center"/>
                </w:tcPr>
                <w:p>
                  <w:pPr>
                    <w:adjustRightInd w:val="0"/>
                    <w:snapToGrid w:val="0"/>
                    <w:jc w:val="center"/>
                    <w:rPr>
                      <w:color w:val="000000"/>
                      <w:sz w:val="18"/>
                      <w:szCs w:val="18"/>
                    </w:rPr>
                  </w:pPr>
                  <w:r>
                    <w:rPr>
                      <w:rFonts w:hint="eastAsia"/>
                      <w:color w:val="000000"/>
                      <w:sz w:val="18"/>
                      <w:szCs w:val="18"/>
                    </w:rPr>
                    <w:t>声源名称</w:t>
                  </w:r>
                </w:p>
              </w:tc>
              <w:tc>
                <w:tcPr>
                  <w:tcW w:w="430" w:type="pct"/>
                  <w:vMerge w:val="restart"/>
                  <w:noWrap w:val="0"/>
                  <w:vAlign w:val="center"/>
                </w:tcPr>
                <w:p>
                  <w:pPr>
                    <w:adjustRightInd w:val="0"/>
                    <w:snapToGrid w:val="0"/>
                    <w:jc w:val="center"/>
                    <w:rPr>
                      <w:color w:val="000000"/>
                      <w:sz w:val="18"/>
                      <w:szCs w:val="18"/>
                    </w:rPr>
                  </w:pPr>
                  <w:r>
                    <w:rPr>
                      <w:rFonts w:hint="eastAsia"/>
                      <w:color w:val="000000"/>
                      <w:sz w:val="18"/>
                      <w:szCs w:val="18"/>
                    </w:rPr>
                    <w:t>声功率级/dB（A）</w:t>
                  </w:r>
                </w:p>
              </w:tc>
              <w:tc>
                <w:tcPr>
                  <w:tcW w:w="259" w:type="pct"/>
                  <w:vMerge w:val="restart"/>
                  <w:noWrap w:val="0"/>
                  <w:vAlign w:val="center"/>
                </w:tcPr>
                <w:p>
                  <w:pPr>
                    <w:adjustRightInd w:val="0"/>
                    <w:snapToGrid w:val="0"/>
                    <w:jc w:val="center"/>
                    <w:rPr>
                      <w:rFonts w:hint="eastAsia"/>
                      <w:color w:val="000000"/>
                      <w:sz w:val="18"/>
                      <w:szCs w:val="18"/>
                    </w:rPr>
                  </w:pPr>
                  <w:r>
                    <w:rPr>
                      <w:rFonts w:hint="eastAsia"/>
                      <w:color w:val="000000"/>
                      <w:sz w:val="18"/>
                      <w:szCs w:val="18"/>
                    </w:rPr>
                    <w:t>数量</w:t>
                  </w:r>
                </w:p>
              </w:tc>
              <w:tc>
                <w:tcPr>
                  <w:tcW w:w="351" w:type="pct"/>
                  <w:vMerge w:val="restart"/>
                  <w:noWrap w:val="0"/>
                  <w:vAlign w:val="center"/>
                </w:tcPr>
                <w:p>
                  <w:pPr>
                    <w:adjustRightInd w:val="0"/>
                    <w:snapToGrid w:val="0"/>
                    <w:jc w:val="center"/>
                    <w:rPr>
                      <w:color w:val="000000"/>
                      <w:sz w:val="18"/>
                      <w:szCs w:val="18"/>
                    </w:rPr>
                  </w:pPr>
                  <w:r>
                    <w:rPr>
                      <w:rFonts w:hint="eastAsia"/>
                      <w:color w:val="000000"/>
                      <w:sz w:val="18"/>
                      <w:szCs w:val="18"/>
                    </w:rPr>
                    <w:t>声源控制措施</w:t>
                  </w:r>
                </w:p>
              </w:tc>
              <w:tc>
                <w:tcPr>
                  <w:tcW w:w="716" w:type="pct"/>
                  <w:vMerge w:val="restart"/>
                  <w:noWrap w:val="0"/>
                  <w:vAlign w:val="center"/>
                </w:tcPr>
                <w:p>
                  <w:pPr>
                    <w:adjustRightInd w:val="0"/>
                    <w:snapToGrid w:val="0"/>
                    <w:jc w:val="center"/>
                    <w:rPr>
                      <w:color w:val="000000"/>
                      <w:sz w:val="18"/>
                      <w:szCs w:val="18"/>
                    </w:rPr>
                  </w:pPr>
                  <w:r>
                    <w:rPr>
                      <w:rFonts w:hint="eastAsia"/>
                      <w:color w:val="000000"/>
                      <w:sz w:val="18"/>
                      <w:szCs w:val="18"/>
                    </w:rPr>
                    <w:t>空间相对位置/m</w:t>
                  </w:r>
                </w:p>
              </w:tc>
              <w:tc>
                <w:tcPr>
                  <w:tcW w:w="410" w:type="pct"/>
                  <w:vMerge w:val="restart"/>
                  <w:noWrap w:val="0"/>
                  <w:vAlign w:val="center"/>
                </w:tcPr>
                <w:p>
                  <w:pPr>
                    <w:adjustRightInd w:val="0"/>
                    <w:snapToGrid w:val="0"/>
                    <w:jc w:val="center"/>
                    <w:rPr>
                      <w:color w:val="000000"/>
                      <w:sz w:val="18"/>
                      <w:szCs w:val="18"/>
                    </w:rPr>
                  </w:pPr>
                  <w:r>
                    <w:rPr>
                      <w:rFonts w:hint="eastAsia"/>
                      <w:color w:val="000000"/>
                      <w:sz w:val="18"/>
                      <w:szCs w:val="18"/>
                    </w:rPr>
                    <w:t>距室内边界距离/m</w:t>
                  </w:r>
                </w:p>
              </w:tc>
              <w:tc>
                <w:tcPr>
                  <w:tcW w:w="430" w:type="pct"/>
                  <w:vMerge w:val="restart"/>
                  <w:noWrap w:val="0"/>
                  <w:vAlign w:val="center"/>
                </w:tcPr>
                <w:p>
                  <w:pPr>
                    <w:adjustRightInd w:val="0"/>
                    <w:snapToGrid w:val="0"/>
                    <w:jc w:val="center"/>
                    <w:rPr>
                      <w:color w:val="000000"/>
                      <w:sz w:val="18"/>
                      <w:szCs w:val="18"/>
                    </w:rPr>
                  </w:pPr>
                  <w:r>
                    <w:rPr>
                      <w:rFonts w:hint="eastAsia"/>
                      <w:color w:val="000000"/>
                      <w:sz w:val="18"/>
                      <w:szCs w:val="18"/>
                    </w:rPr>
                    <w:t>室内边界声级/dB（A）</w:t>
                  </w:r>
                </w:p>
              </w:tc>
              <w:tc>
                <w:tcPr>
                  <w:tcW w:w="327" w:type="pct"/>
                  <w:vMerge w:val="restart"/>
                  <w:noWrap w:val="0"/>
                  <w:vAlign w:val="center"/>
                </w:tcPr>
                <w:p>
                  <w:pPr>
                    <w:adjustRightInd w:val="0"/>
                    <w:snapToGrid w:val="0"/>
                    <w:jc w:val="center"/>
                    <w:rPr>
                      <w:color w:val="000000"/>
                      <w:sz w:val="18"/>
                      <w:szCs w:val="18"/>
                    </w:rPr>
                  </w:pPr>
                  <w:r>
                    <w:rPr>
                      <w:rFonts w:hint="eastAsia"/>
                      <w:color w:val="000000"/>
                      <w:sz w:val="18"/>
                      <w:szCs w:val="18"/>
                    </w:rPr>
                    <w:t>运行时段</w:t>
                  </w:r>
                </w:p>
              </w:tc>
              <w:tc>
                <w:tcPr>
                  <w:tcW w:w="430" w:type="pct"/>
                  <w:vMerge w:val="restart"/>
                  <w:noWrap w:val="0"/>
                  <w:vAlign w:val="center"/>
                </w:tcPr>
                <w:p>
                  <w:pPr>
                    <w:adjustRightInd w:val="0"/>
                    <w:snapToGrid w:val="0"/>
                    <w:jc w:val="center"/>
                    <w:rPr>
                      <w:color w:val="000000"/>
                      <w:sz w:val="18"/>
                      <w:szCs w:val="18"/>
                    </w:rPr>
                  </w:pPr>
                  <w:r>
                    <w:rPr>
                      <w:rFonts w:hint="eastAsia"/>
                      <w:color w:val="000000"/>
                      <w:sz w:val="18"/>
                      <w:szCs w:val="18"/>
                    </w:rPr>
                    <w:t>建筑物插入损失/dB（A）</w:t>
                  </w:r>
                </w:p>
              </w:tc>
              <w:tc>
                <w:tcPr>
                  <w:tcW w:w="911" w:type="pct"/>
                  <w:gridSpan w:val="2"/>
                  <w:noWrap w:val="0"/>
                  <w:vAlign w:val="center"/>
                </w:tcPr>
                <w:p>
                  <w:pPr>
                    <w:adjustRightInd w:val="0"/>
                    <w:snapToGrid w:val="0"/>
                    <w:jc w:val="center"/>
                    <w:rPr>
                      <w:color w:val="000000"/>
                      <w:sz w:val="18"/>
                      <w:szCs w:val="18"/>
                    </w:rPr>
                  </w:pPr>
                  <w:r>
                    <w:rPr>
                      <w:rFonts w:hint="eastAsia"/>
                      <w:color w:val="000000"/>
                      <w:sz w:val="18"/>
                      <w:szCs w:val="18"/>
                    </w:rPr>
                    <w:t>建筑物外噪声</w:t>
                  </w:r>
                </w:p>
              </w:tc>
              <w:tc>
                <w:tcPr>
                  <w:tcW w:w="411" w:type="pct"/>
                  <w:vMerge w:val="restart"/>
                  <w:noWrap w:val="0"/>
                  <w:vAlign w:val="center"/>
                </w:tcPr>
                <w:p>
                  <w:pPr>
                    <w:adjustRightInd w:val="0"/>
                    <w:snapToGrid w:val="0"/>
                    <w:jc w:val="center"/>
                    <w:rPr>
                      <w:rFonts w:hint="eastAsia"/>
                      <w:color w:val="000000"/>
                      <w:sz w:val="18"/>
                      <w:szCs w:val="18"/>
                    </w:rPr>
                  </w:pPr>
                  <w:r>
                    <w:rPr>
                      <w:rFonts w:hint="eastAsia"/>
                      <w:color w:val="000000"/>
                      <w:sz w:val="18"/>
                      <w:szCs w:val="18"/>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20" w:type="pct"/>
                  <w:vMerge w:val="continue"/>
                  <w:noWrap w:val="0"/>
                  <w:vAlign w:val="center"/>
                </w:tcPr>
                <w:p>
                  <w:pPr>
                    <w:adjustRightInd w:val="0"/>
                    <w:snapToGrid w:val="0"/>
                    <w:jc w:val="center"/>
                    <w:rPr>
                      <w:color w:val="000000"/>
                      <w:sz w:val="18"/>
                      <w:szCs w:val="18"/>
                    </w:rPr>
                  </w:pPr>
                </w:p>
              </w:tc>
              <w:tc>
                <w:tcPr>
                  <w:tcW w:w="430" w:type="pct"/>
                  <w:vMerge w:val="continue"/>
                  <w:noWrap w:val="0"/>
                  <w:vAlign w:val="center"/>
                </w:tcPr>
                <w:p>
                  <w:pPr>
                    <w:adjustRightInd w:val="0"/>
                    <w:snapToGrid w:val="0"/>
                    <w:jc w:val="center"/>
                    <w:rPr>
                      <w:color w:val="000000"/>
                      <w:sz w:val="18"/>
                      <w:szCs w:val="18"/>
                    </w:rPr>
                  </w:pPr>
                </w:p>
              </w:tc>
              <w:tc>
                <w:tcPr>
                  <w:tcW w:w="259" w:type="pct"/>
                  <w:vMerge w:val="continue"/>
                  <w:noWrap w:val="0"/>
                  <w:vAlign w:val="center"/>
                </w:tcPr>
                <w:p>
                  <w:pPr>
                    <w:adjustRightInd w:val="0"/>
                    <w:snapToGrid w:val="0"/>
                    <w:jc w:val="center"/>
                    <w:rPr>
                      <w:color w:val="000000"/>
                      <w:sz w:val="18"/>
                      <w:szCs w:val="18"/>
                    </w:rPr>
                  </w:pPr>
                </w:p>
              </w:tc>
              <w:tc>
                <w:tcPr>
                  <w:tcW w:w="351" w:type="pct"/>
                  <w:vMerge w:val="continue"/>
                  <w:noWrap w:val="0"/>
                  <w:vAlign w:val="center"/>
                </w:tcPr>
                <w:p>
                  <w:pPr>
                    <w:adjustRightInd w:val="0"/>
                    <w:snapToGrid w:val="0"/>
                    <w:jc w:val="center"/>
                    <w:rPr>
                      <w:color w:val="000000"/>
                      <w:sz w:val="18"/>
                      <w:szCs w:val="18"/>
                    </w:rPr>
                  </w:pPr>
                </w:p>
              </w:tc>
              <w:tc>
                <w:tcPr>
                  <w:tcW w:w="716" w:type="pct"/>
                  <w:vMerge w:val="continue"/>
                  <w:noWrap w:val="0"/>
                  <w:vAlign w:val="center"/>
                </w:tcPr>
                <w:p>
                  <w:pPr>
                    <w:adjustRightInd w:val="0"/>
                    <w:snapToGrid w:val="0"/>
                    <w:jc w:val="center"/>
                    <w:rPr>
                      <w:color w:val="000000"/>
                      <w:sz w:val="18"/>
                      <w:szCs w:val="18"/>
                    </w:rPr>
                  </w:pPr>
                </w:p>
              </w:tc>
              <w:tc>
                <w:tcPr>
                  <w:tcW w:w="410" w:type="pct"/>
                  <w:vMerge w:val="continue"/>
                  <w:noWrap w:val="0"/>
                  <w:vAlign w:val="center"/>
                </w:tcPr>
                <w:p>
                  <w:pPr>
                    <w:adjustRightInd w:val="0"/>
                    <w:snapToGrid w:val="0"/>
                    <w:jc w:val="center"/>
                    <w:rPr>
                      <w:color w:val="000000"/>
                      <w:sz w:val="18"/>
                      <w:szCs w:val="18"/>
                    </w:rPr>
                  </w:pPr>
                </w:p>
              </w:tc>
              <w:tc>
                <w:tcPr>
                  <w:tcW w:w="430" w:type="pct"/>
                  <w:vMerge w:val="continue"/>
                  <w:noWrap w:val="0"/>
                  <w:vAlign w:val="center"/>
                </w:tcPr>
                <w:p>
                  <w:pPr>
                    <w:adjustRightInd w:val="0"/>
                    <w:snapToGrid w:val="0"/>
                    <w:jc w:val="center"/>
                    <w:rPr>
                      <w:color w:val="000000"/>
                      <w:sz w:val="18"/>
                      <w:szCs w:val="18"/>
                    </w:rPr>
                  </w:pPr>
                </w:p>
              </w:tc>
              <w:tc>
                <w:tcPr>
                  <w:tcW w:w="327" w:type="pct"/>
                  <w:vMerge w:val="continue"/>
                  <w:noWrap w:val="0"/>
                  <w:vAlign w:val="center"/>
                </w:tcPr>
                <w:p>
                  <w:pPr>
                    <w:adjustRightInd w:val="0"/>
                    <w:snapToGrid w:val="0"/>
                    <w:jc w:val="center"/>
                    <w:rPr>
                      <w:color w:val="000000"/>
                      <w:sz w:val="18"/>
                      <w:szCs w:val="18"/>
                    </w:rPr>
                  </w:pPr>
                </w:p>
              </w:tc>
              <w:tc>
                <w:tcPr>
                  <w:tcW w:w="430" w:type="pct"/>
                  <w:vMerge w:val="continue"/>
                  <w:noWrap w:val="0"/>
                  <w:vAlign w:val="center"/>
                </w:tcPr>
                <w:p>
                  <w:pPr>
                    <w:adjustRightInd w:val="0"/>
                    <w:snapToGrid w:val="0"/>
                    <w:jc w:val="center"/>
                    <w:rPr>
                      <w:color w:val="000000"/>
                      <w:sz w:val="18"/>
                      <w:szCs w:val="18"/>
                    </w:rPr>
                  </w:pPr>
                </w:p>
              </w:tc>
              <w:tc>
                <w:tcPr>
                  <w:tcW w:w="430" w:type="pct"/>
                  <w:noWrap w:val="0"/>
                  <w:vAlign w:val="center"/>
                </w:tcPr>
                <w:p>
                  <w:pPr>
                    <w:adjustRightInd w:val="0"/>
                    <w:snapToGrid w:val="0"/>
                    <w:jc w:val="center"/>
                    <w:rPr>
                      <w:color w:val="000000"/>
                      <w:sz w:val="18"/>
                      <w:szCs w:val="18"/>
                    </w:rPr>
                  </w:pPr>
                  <w:r>
                    <w:rPr>
                      <w:rFonts w:hint="eastAsia"/>
                      <w:color w:val="000000"/>
                      <w:sz w:val="18"/>
                      <w:szCs w:val="18"/>
                    </w:rPr>
                    <w:t>声压级dB（A）</w:t>
                  </w:r>
                </w:p>
              </w:tc>
              <w:tc>
                <w:tcPr>
                  <w:tcW w:w="481" w:type="pct"/>
                  <w:noWrap w:val="0"/>
                  <w:vAlign w:val="center"/>
                </w:tcPr>
                <w:p>
                  <w:pPr>
                    <w:adjustRightInd w:val="0"/>
                    <w:snapToGrid w:val="0"/>
                    <w:jc w:val="center"/>
                    <w:rPr>
                      <w:color w:val="000000"/>
                      <w:sz w:val="18"/>
                      <w:szCs w:val="18"/>
                    </w:rPr>
                  </w:pPr>
                  <w:r>
                    <w:rPr>
                      <w:rFonts w:hint="eastAsia"/>
                      <w:color w:val="000000"/>
                      <w:sz w:val="18"/>
                      <w:szCs w:val="18"/>
                    </w:rPr>
                    <w:t>建筑物外距离m</w:t>
                  </w:r>
                </w:p>
              </w:tc>
              <w:tc>
                <w:tcPr>
                  <w:tcW w:w="411" w:type="pct"/>
                  <w:vMerge w:val="continue"/>
                  <w:noWrap w:val="0"/>
                  <w:vAlign w:val="center"/>
                </w:tcPr>
                <w:p>
                  <w:pPr>
                    <w:adjustRightInd w:val="0"/>
                    <w:snapToGrid w:val="0"/>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磨浆机</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65</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restart"/>
                  <w:noWrap w:val="0"/>
                  <w:vAlign w:val="center"/>
                </w:tcPr>
                <w:p>
                  <w:pPr>
                    <w:adjustRightInd w:val="0"/>
                    <w:snapToGrid w:val="0"/>
                    <w:jc w:val="center"/>
                    <w:rPr>
                      <w:color w:val="000000"/>
                      <w:sz w:val="18"/>
                      <w:szCs w:val="18"/>
                    </w:rPr>
                  </w:pPr>
                  <w:r>
                    <w:rPr>
                      <w:rFonts w:hint="eastAsia"/>
                      <w:color w:val="000000"/>
                      <w:sz w:val="18"/>
                      <w:szCs w:val="18"/>
                    </w:rPr>
                    <w:t>设备减振、厂房隔声</w:t>
                  </w:r>
                </w:p>
              </w:tc>
              <w:tc>
                <w:tcPr>
                  <w:tcW w:w="716" w:type="pct"/>
                  <w:noWrap w:val="0"/>
                  <w:vAlign w:val="center"/>
                </w:tcPr>
                <w:p>
                  <w:pPr>
                    <w:adjustRightInd w:val="0"/>
                    <w:snapToGrid w:val="0"/>
                    <w:jc w:val="center"/>
                    <w:rPr>
                      <w:rFonts w:hint="eastAsia"/>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84-94</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51-61</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4-7</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5</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rFonts w:hint="eastAsia" w:eastAsia="宋体"/>
                      <w:color w:val="000000"/>
                      <w:sz w:val="18"/>
                      <w:szCs w:val="18"/>
                      <w:lang w:eastAsia="zh-CN"/>
                    </w:rPr>
                  </w:pPr>
                  <w:r>
                    <w:rPr>
                      <w:rFonts w:hint="eastAsia"/>
                      <w:color w:val="000000"/>
                      <w:sz w:val="18"/>
                      <w:szCs w:val="18"/>
                    </w:rPr>
                    <w:t>6</w:t>
                  </w:r>
                  <w:r>
                    <w:rPr>
                      <w:rFonts w:hint="eastAsia"/>
                      <w:color w:val="000000"/>
                      <w:sz w:val="18"/>
                      <w:szCs w:val="18"/>
                      <w:lang w:val="en-US" w:eastAsia="zh-CN"/>
                    </w:rPr>
                    <w:t>0</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restart"/>
                  <w:noWrap w:val="0"/>
                  <w:vAlign w:val="center"/>
                </w:tcPr>
                <w:p>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磨粉机</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70</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（15）</w:t>
                  </w:r>
                  <w:r>
                    <w:rPr>
                      <w:color w:val="000000"/>
                      <w:sz w:val="18"/>
                      <w:szCs w:val="18"/>
                    </w:rPr>
                    <w:t>Y</w:t>
                  </w:r>
                  <w:r>
                    <w:rPr>
                      <w:rFonts w:hint="eastAsia"/>
                      <w:color w:val="000000"/>
                      <w:sz w:val="18"/>
                      <w:szCs w:val="18"/>
                    </w:rPr>
                    <w:t>（184）</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eastAsia"/>
                      <w:color w:val="000000"/>
                      <w:sz w:val="18"/>
                      <w:szCs w:val="18"/>
                    </w:rPr>
                  </w:pPr>
                  <w:r>
                    <w:rPr>
                      <w:rFonts w:hint="eastAsia"/>
                      <w:color w:val="000000"/>
                      <w:sz w:val="18"/>
                      <w:szCs w:val="18"/>
                    </w:rPr>
                    <w:t>1</w:t>
                  </w:r>
                  <w:r>
                    <w:rPr>
                      <w:color w:val="000000"/>
                      <w:sz w:val="18"/>
                      <w:szCs w:val="18"/>
                    </w:rPr>
                    <w:t>0</w:t>
                  </w:r>
                  <w:r>
                    <w:rPr>
                      <w:rFonts w:hint="eastAsia"/>
                      <w:color w:val="000000"/>
                      <w:sz w:val="18"/>
                      <w:szCs w:val="18"/>
                    </w:rPr>
                    <w:t>~</w:t>
                  </w:r>
                  <w:r>
                    <w:rPr>
                      <w:color w:val="000000"/>
                      <w:sz w:val="18"/>
                      <w:szCs w:val="18"/>
                    </w:rPr>
                    <w:t>40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0</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65</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调浆桶带搅拌</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60</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82-92</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51-61</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eastAsia"/>
                      <w:color w:val="000000"/>
                      <w:sz w:val="18"/>
                      <w:szCs w:val="18"/>
                    </w:rPr>
                  </w:pPr>
                  <w:r>
                    <w:rPr>
                      <w:rFonts w:hint="eastAsia"/>
                      <w:color w:val="000000"/>
                      <w:sz w:val="18"/>
                      <w:szCs w:val="18"/>
                    </w:rPr>
                    <w:t>1</w:t>
                  </w:r>
                  <w:r>
                    <w:rPr>
                      <w:color w:val="000000"/>
                      <w:sz w:val="18"/>
                      <w:szCs w:val="18"/>
                    </w:rPr>
                    <w:t>0</w:t>
                  </w:r>
                  <w:r>
                    <w:rPr>
                      <w:rFonts w:hint="eastAsia"/>
                      <w:color w:val="000000"/>
                      <w:sz w:val="18"/>
                      <w:szCs w:val="18"/>
                    </w:rPr>
                    <w:t>~</w:t>
                  </w:r>
                  <w:r>
                    <w:rPr>
                      <w:color w:val="000000"/>
                      <w:sz w:val="18"/>
                      <w:szCs w:val="18"/>
                    </w:rPr>
                    <w:t>40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78</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63</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eastAsia" w:cs="Times New Roman"/>
                      <w:color w:val="000000" w:themeColor="text1"/>
                      <w:sz w:val="18"/>
                      <w:szCs w:val="18"/>
                      <w:u w:val="none"/>
                      <w:lang w:val="en-US" w:eastAsia="zh-CN"/>
                      <w14:textFill>
                        <w14:solidFill>
                          <w14:schemeClr w14:val="tx1"/>
                        </w14:solidFill>
                      </w14:textFill>
                    </w:rPr>
                    <w:t>切</w:t>
                  </w:r>
                  <w:r>
                    <w:rPr>
                      <w:rFonts w:hint="default" w:ascii="Times New Roman" w:hAnsi="Times New Roman" w:eastAsia="宋体" w:cs="Times New Roman"/>
                      <w:color w:val="000000" w:themeColor="text1"/>
                      <w:sz w:val="18"/>
                      <w:szCs w:val="18"/>
                      <w:u w:val="none"/>
                      <w:lang w:eastAsia="zh-CN"/>
                      <w14:textFill>
                        <w14:solidFill>
                          <w14:schemeClr w14:val="tx1"/>
                        </w14:solidFill>
                      </w14:textFill>
                    </w:rPr>
                    <w:t>丝机</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70</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68</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35</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20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85</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70</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18"/>
                      <w:szCs w:val="18"/>
                      <w:u w:val="none"/>
                      <w:lang w:val="en-US" w:eastAsia="zh-CN" w:bidi="ar"/>
                    </w:rPr>
                    <w:t>全自动生物质蒸汽发生器</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70</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87</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51</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eastAsia"/>
                      <w:color w:val="000000"/>
                      <w:sz w:val="18"/>
                      <w:szCs w:val="18"/>
                    </w:rPr>
                  </w:pPr>
                  <w:r>
                    <w:rPr>
                      <w:rFonts w:hint="eastAsia"/>
                      <w:color w:val="000000"/>
                      <w:sz w:val="18"/>
                      <w:szCs w:val="18"/>
                    </w:rPr>
                    <w:t>1</w:t>
                  </w:r>
                  <w:r>
                    <w:rPr>
                      <w:color w:val="000000"/>
                      <w:sz w:val="18"/>
                      <w:szCs w:val="18"/>
                    </w:rPr>
                    <w:t>0</w:t>
                  </w:r>
                  <w:r>
                    <w:rPr>
                      <w:rFonts w:hint="eastAsia"/>
                      <w:color w:val="000000"/>
                      <w:sz w:val="18"/>
                      <w:szCs w:val="18"/>
                    </w:rPr>
                    <w:t>~</w:t>
                  </w:r>
                  <w:r>
                    <w:rPr>
                      <w:color w:val="000000"/>
                      <w:sz w:val="18"/>
                      <w:szCs w:val="18"/>
                    </w:rPr>
                    <w:t>40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85</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70</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18"/>
                      <w:szCs w:val="18"/>
                      <w:u w:val="none"/>
                      <w:lang w:val="en-US" w:eastAsia="zh-CN" w:bidi="ar"/>
                    </w:rPr>
                    <w:t>全自动反渗透水处理器</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65</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84</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55</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eastAsia"/>
                      <w:color w:val="000000"/>
                      <w:sz w:val="18"/>
                      <w:szCs w:val="18"/>
                    </w:rPr>
                  </w:pPr>
                  <w:r>
                    <w:rPr>
                      <w:rFonts w:hint="eastAsia"/>
                      <w:color w:val="000000"/>
                      <w:sz w:val="18"/>
                      <w:szCs w:val="18"/>
                    </w:rPr>
                    <w:t>1</w:t>
                  </w:r>
                  <w:r>
                    <w:rPr>
                      <w:color w:val="000000"/>
                      <w:sz w:val="18"/>
                      <w:szCs w:val="18"/>
                    </w:rPr>
                    <w:t>0</w:t>
                  </w:r>
                  <w:r>
                    <w:rPr>
                      <w:rFonts w:hint="eastAsia"/>
                      <w:color w:val="000000"/>
                      <w:sz w:val="18"/>
                      <w:szCs w:val="18"/>
                    </w:rPr>
                    <w:t>~</w:t>
                  </w:r>
                  <w:r>
                    <w:rPr>
                      <w:color w:val="000000"/>
                      <w:sz w:val="18"/>
                      <w:szCs w:val="18"/>
                    </w:rPr>
                    <w:t>40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80</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65</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18"/>
                      <w:szCs w:val="18"/>
                      <w:u w:val="none"/>
                      <w:lang w:val="en-US" w:eastAsia="zh-CN" w:bidi="ar"/>
                    </w:rPr>
                    <w:t>自动叠粉机</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t>70</w:t>
                  </w:r>
                </w:p>
              </w:tc>
              <w:tc>
                <w:tcPr>
                  <w:tcW w:w="2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14:textFill>
                        <w14:solidFill>
                          <w14:schemeClr w14:val="tx1"/>
                        </w14:solidFill>
                      </w14:textFill>
                    </w:rPr>
                    <w:t>台</w:t>
                  </w:r>
                </w:p>
              </w:tc>
              <w:tc>
                <w:tcPr>
                  <w:tcW w:w="351" w:type="pct"/>
                  <w:vMerge w:val="continue"/>
                  <w:noWrap w:val="0"/>
                  <w:vAlign w:val="center"/>
                </w:tcPr>
                <w:p>
                  <w:pPr>
                    <w:adjustRightInd w:val="0"/>
                    <w:snapToGrid w:val="0"/>
                    <w:jc w:val="center"/>
                    <w:rPr>
                      <w:color w:val="000000"/>
                      <w:sz w:val="18"/>
                      <w:szCs w:val="18"/>
                    </w:rPr>
                  </w:pPr>
                </w:p>
              </w:tc>
              <w:tc>
                <w:tcPr>
                  <w:tcW w:w="716" w:type="pct"/>
                  <w:noWrap w:val="0"/>
                  <w:vAlign w:val="center"/>
                </w:tcPr>
                <w:p>
                  <w:pPr>
                    <w:adjustRightInd w:val="0"/>
                    <w:snapToGrid w:val="0"/>
                    <w:jc w:val="center"/>
                    <w:rPr>
                      <w:color w:val="000000"/>
                      <w:sz w:val="18"/>
                      <w:szCs w:val="18"/>
                    </w:rPr>
                  </w:pPr>
                  <w:r>
                    <w:rPr>
                      <w:color w:val="000000"/>
                      <w:sz w:val="18"/>
                      <w:szCs w:val="18"/>
                    </w:rPr>
                    <w:t>X</w:t>
                  </w:r>
                  <w:r>
                    <w:rPr>
                      <w:rFonts w:hint="eastAsia"/>
                      <w:color w:val="000000"/>
                      <w:sz w:val="18"/>
                      <w:szCs w:val="18"/>
                    </w:rPr>
                    <w:t>（</w:t>
                  </w:r>
                  <w:r>
                    <w:rPr>
                      <w:rFonts w:hint="eastAsia"/>
                      <w:color w:val="000000"/>
                      <w:sz w:val="18"/>
                      <w:szCs w:val="18"/>
                      <w:lang w:val="en-US" w:eastAsia="zh-CN"/>
                    </w:rPr>
                    <w:t>77</w:t>
                  </w:r>
                  <w:r>
                    <w:rPr>
                      <w:rFonts w:hint="eastAsia"/>
                      <w:color w:val="000000"/>
                      <w:sz w:val="18"/>
                      <w:szCs w:val="18"/>
                    </w:rPr>
                    <w:t>）</w:t>
                  </w:r>
                  <w:r>
                    <w:rPr>
                      <w:color w:val="000000"/>
                      <w:sz w:val="18"/>
                      <w:szCs w:val="18"/>
                    </w:rPr>
                    <w:t>Y</w:t>
                  </w:r>
                  <w:r>
                    <w:rPr>
                      <w:rFonts w:hint="eastAsia"/>
                      <w:color w:val="000000"/>
                      <w:sz w:val="18"/>
                      <w:szCs w:val="18"/>
                    </w:rPr>
                    <w:t>（</w:t>
                  </w:r>
                  <w:r>
                    <w:rPr>
                      <w:rFonts w:hint="eastAsia"/>
                      <w:color w:val="000000"/>
                      <w:sz w:val="18"/>
                      <w:szCs w:val="18"/>
                      <w:lang w:val="en-US" w:eastAsia="zh-CN"/>
                    </w:rPr>
                    <w:t>35</w:t>
                  </w:r>
                  <w:r>
                    <w:rPr>
                      <w:rFonts w:hint="eastAsia"/>
                      <w:color w:val="000000"/>
                      <w:sz w:val="18"/>
                      <w:szCs w:val="18"/>
                    </w:rPr>
                    <w:t>）</w:t>
                  </w:r>
                  <w:r>
                    <w:rPr>
                      <w:color w:val="000000"/>
                      <w:sz w:val="18"/>
                      <w:szCs w:val="18"/>
                    </w:rPr>
                    <w:t>Z</w:t>
                  </w:r>
                  <w:r>
                    <w:rPr>
                      <w:rFonts w:hint="eastAsia"/>
                      <w:color w:val="000000"/>
                      <w:sz w:val="18"/>
                      <w:szCs w:val="18"/>
                    </w:rPr>
                    <w:t>（2）</w:t>
                  </w:r>
                </w:p>
              </w:tc>
              <w:tc>
                <w:tcPr>
                  <w:tcW w:w="410" w:type="pct"/>
                  <w:noWrap w:val="0"/>
                  <w:vAlign w:val="center"/>
                </w:tcPr>
                <w:p>
                  <w:pPr>
                    <w:adjustRightInd w:val="0"/>
                    <w:snapToGrid w:val="0"/>
                    <w:jc w:val="center"/>
                    <w:rPr>
                      <w:rFonts w:hint="eastAsia"/>
                      <w:color w:val="000000"/>
                      <w:sz w:val="18"/>
                      <w:szCs w:val="18"/>
                    </w:rPr>
                  </w:pPr>
                  <w:r>
                    <w:rPr>
                      <w:rFonts w:hint="eastAsia"/>
                      <w:color w:val="000000"/>
                      <w:sz w:val="18"/>
                      <w:szCs w:val="18"/>
                    </w:rPr>
                    <w:t>1</w:t>
                  </w:r>
                  <w:r>
                    <w:rPr>
                      <w:color w:val="000000"/>
                      <w:sz w:val="18"/>
                      <w:szCs w:val="18"/>
                    </w:rPr>
                    <w:t>0</w:t>
                  </w:r>
                  <w:r>
                    <w:rPr>
                      <w:rFonts w:hint="eastAsia"/>
                      <w:color w:val="000000"/>
                      <w:sz w:val="18"/>
                      <w:szCs w:val="18"/>
                    </w:rPr>
                    <w:t>~</w:t>
                  </w:r>
                  <w:r>
                    <w:rPr>
                      <w:color w:val="000000"/>
                      <w:sz w:val="18"/>
                      <w:szCs w:val="18"/>
                    </w:rPr>
                    <w:t>40</w:t>
                  </w:r>
                </w:p>
              </w:tc>
              <w:tc>
                <w:tcPr>
                  <w:tcW w:w="430" w:type="pct"/>
                  <w:noWrap w:val="0"/>
                  <w:vAlign w:val="center"/>
                </w:tcPr>
                <w:p>
                  <w:pPr>
                    <w:jc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80</w:t>
                  </w:r>
                </w:p>
              </w:tc>
              <w:tc>
                <w:tcPr>
                  <w:tcW w:w="327" w:type="pct"/>
                  <w:noWrap w:val="0"/>
                  <w:vAlign w:val="center"/>
                </w:tcPr>
                <w:p>
                  <w:pPr>
                    <w:adjustRightInd w:val="0"/>
                    <w:snapToGrid w:val="0"/>
                    <w:jc w:val="center"/>
                    <w:rPr>
                      <w:rFonts w:hint="eastAsia"/>
                      <w:color w:val="000000"/>
                      <w:sz w:val="18"/>
                      <w:szCs w:val="18"/>
                    </w:rPr>
                  </w:pPr>
                  <w:r>
                    <w:rPr>
                      <w:rFonts w:hint="eastAsia"/>
                      <w:color w:val="000000"/>
                      <w:sz w:val="18"/>
                      <w:szCs w:val="18"/>
                    </w:rPr>
                    <w:t>8h/d</w:t>
                  </w:r>
                </w:p>
              </w:tc>
              <w:tc>
                <w:tcPr>
                  <w:tcW w:w="430" w:type="pct"/>
                  <w:noWrap w:val="0"/>
                  <w:vAlign w:val="center"/>
                </w:tcPr>
                <w:p>
                  <w:pPr>
                    <w:adjustRightInd w:val="0"/>
                    <w:snapToGrid w:val="0"/>
                    <w:jc w:val="center"/>
                    <w:rPr>
                      <w:rFonts w:hint="eastAsia"/>
                      <w:color w:val="000000"/>
                      <w:sz w:val="18"/>
                      <w:szCs w:val="18"/>
                    </w:rPr>
                  </w:pPr>
                  <w:r>
                    <w:rPr>
                      <w:rFonts w:hint="eastAsia"/>
                      <w:color w:val="000000"/>
                      <w:sz w:val="18"/>
                      <w:szCs w:val="18"/>
                    </w:rPr>
                    <w:t>15</w:t>
                  </w:r>
                </w:p>
              </w:tc>
              <w:tc>
                <w:tcPr>
                  <w:tcW w:w="430" w:type="pct"/>
                  <w:noWrap w:val="0"/>
                  <w:vAlign w:val="center"/>
                </w:tcPr>
                <w:p>
                  <w:pPr>
                    <w:adjustRightInd w:val="0"/>
                    <w:snapToGrid w:val="0"/>
                    <w:jc w:val="center"/>
                    <w:rPr>
                      <w:color w:val="000000"/>
                      <w:sz w:val="18"/>
                      <w:szCs w:val="18"/>
                    </w:rPr>
                  </w:pPr>
                  <w:r>
                    <w:rPr>
                      <w:rFonts w:hint="eastAsia"/>
                      <w:color w:val="000000"/>
                      <w:sz w:val="18"/>
                      <w:szCs w:val="18"/>
                    </w:rPr>
                    <w:t>65</w:t>
                  </w:r>
                </w:p>
              </w:tc>
              <w:tc>
                <w:tcPr>
                  <w:tcW w:w="481" w:type="pct"/>
                  <w:noWrap w:val="0"/>
                  <w:vAlign w:val="center"/>
                </w:tcPr>
                <w:p>
                  <w:pPr>
                    <w:adjustRightInd w:val="0"/>
                    <w:snapToGrid w:val="0"/>
                    <w:jc w:val="center"/>
                    <w:rPr>
                      <w:rFonts w:hint="eastAsia"/>
                      <w:color w:val="000000"/>
                      <w:sz w:val="18"/>
                      <w:szCs w:val="18"/>
                    </w:rPr>
                  </w:pPr>
                  <w:r>
                    <w:rPr>
                      <w:rFonts w:hint="eastAsia"/>
                      <w:color w:val="000000"/>
                      <w:sz w:val="18"/>
                      <w:szCs w:val="18"/>
                    </w:rPr>
                    <w:t>1</w:t>
                  </w:r>
                </w:p>
              </w:tc>
              <w:tc>
                <w:tcPr>
                  <w:tcW w:w="411" w:type="pct"/>
                  <w:vMerge w:val="continue"/>
                  <w:noWrap w:val="0"/>
                  <w:vAlign w:val="center"/>
                </w:tcPr>
                <w:p>
                  <w:pPr>
                    <w:adjustRightInd w:val="0"/>
                    <w:snapToGrid w:val="0"/>
                    <w:jc w:val="center"/>
                    <w:rPr>
                      <w:rFonts w:hint="eastAsia"/>
                      <w:color w:val="000000"/>
                      <w:sz w:val="18"/>
                      <w:szCs w:val="18"/>
                    </w:rPr>
                  </w:pPr>
                </w:p>
              </w:tc>
            </w:tr>
          </w:tbl>
          <w:p>
            <w:pPr>
              <w:adjustRightInd w:val="0"/>
              <w:snapToGrid w:val="0"/>
              <w:spacing w:line="360" w:lineRule="auto"/>
              <w:ind w:firstLine="720" w:firstLineChars="300"/>
              <w:rPr>
                <w:rFonts w:hint="eastAsia"/>
                <w:kern w:val="0"/>
                <w:sz w:val="24"/>
              </w:rPr>
            </w:pPr>
            <w:r>
              <w:rPr>
                <w:rFonts w:hint="eastAsia"/>
                <w:kern w:val="0"/>
                <w:sz w:val="24"/>
              </w:rPr>
              <w:t>预测模式和预测方法</w:t>
            </w:r>
          </w:p>
          <w:p>
            <w:pPr>
              <w:adjustRightInd w:val="0"/>
              <w:snapToGrid w:val="0"/>
              <w:spacing w:line="360" w:lineRule="auto"/>
              <w:ind w:firstLine="480" w:firstLineChars="200"/>
              <w:rPr>
                <w:rFonts w:hint="eastAsia"/>
                <w:kern w:val="0"/>
                <w:sz w:val="24"/>
              </w:rPr>
            </w:pPr>
            <w:r>
              <w:rPr>
                <w:rFonts w:hint="eastAsia"/>
                <w:kern w:val="0"/>
                <w:sz w:val="24"/>
              </w:rPr>
              <w:t>根据《环境影响评价技术导则声环境》(HJ2.4-2021）的技术要求，本次评价采取导则上推荐</w:t>
            </w:r>
            <w:r>
              <w:rPr>
                <w:rFonts w:hint="eastAsia" w:ascii="Times New Roman" w:hAnsi="Times New Roman" w:eastAsia="宋体" w:cs="Times New Roman"/>
                <w:kern w:val="0"/>
                <w:sz w:val="24"/>
              </w:rPr>
              <w:t>的工业噪声预</w:t>
            </w:r>
            <w:r>
              <w:rPr>
                <w:rFonts w:hint="eastAsia"/>
                <w:kern w:val="0"/>
                <w:sz w:val="24"/>
              </w:rPr>
              <w:t>测模式，其预测模式为：</w:t>
            </w:r>
          </w:p>
          <w:p>
            <w:pPr>
              <w:adjustRightInd w:val="0"/>
              <w:snapToGrid w:val="0"/>
              <w:spacing w:line="360" w:lineRule="auto"/>
              <w:ind w:firstLine="480" w:firstLineChars="200"/>
              <w:rPr>
                <w:rFonts w:hint="eastAsia"/>
                <w:kern w:val="0"/>
                <w:sz w:val="24"/>
              </w:rPr>
            </w:pPr>
            <w:r>
              <w:rPr>
                <w:rFonts w:hint="eastAsia"/>
                <w:kern w:val="0"/>
                <w:sz w:val="24"/>
              </w:rPr>
              <w:t>项目主要噪声源生产设备，均位于室内。</w:t>
            </w:r>
          </w:p>
          <w:p>
            <w:pPr>
              <w:adjustRightInd w:val="0"/>
              <w:snapToGrid w:val="0"/>
              <w:spacing w:line="360" w:lineRule="auto"/>
              <w:ind w:firstLine="480" w:firstLineChars="200"/>
              <w:rPr>
                <w:rFonts w:hint="eastAsia"/>
                <w:kern w:val="0"/>
                <w:sz w:val="24"/>
              </w:rPr>
            </w:pPr>
            <w:r>
              <w:rPr>
                <w:rFonts w:hint="eastAsia"/>
                <w:kern w:val="0"/>
                <w:sz w:val="24"/>
              </w:rPr>
              <w:t>室内点声源对厂界噪声预测点贡献值预测模式：</w:t>
            </w:r>
          </w:p>
          <w:p>
            <w:pPr>
              <w:adjustRightInd w:val="0"/>
              <w:snapToGrid w:val="0"/>
              <w:spacing w:line="360" w:lineRule="auto"/>
              <w:ind w:firstLine="480" w:firstLineChars="200"/>
              <w:rPr>
                <w:rFonts w:hint="eastAsia"/>
                <w:kern w:val="0"/>
                <w:sz w:val="24"/>
              </w:rPr>
            </w:pPr>
            <w:r>
              <w:rPr>
                <w:rFonts w:hint="eastAsia"/>
                <w:kern w:val="0"/>
                <w:sz w:val="24"/>
              </w:rPr>
              <w:t>室内声源首先换算为等效室外声源，再按各类声源模式计算。</w:t>
            </w:r>
          </w:p>
          <w:p>
            <w:pPr>
              <w:adjustRightInd w:val="0"/>
              <w:snapToGrid w:val="0"/>
              <w:spacing w:line="480" w:lineRule="exact"/>
              <w:ind w:firstLine="480" w:firstLineChars="200"/>
              <w:rPr>
                <w:kern w:val="0"/>
                <w:sz w:val="24"/>
              </w:rPr>
            </w:pPr>
            <w:r>
              <w:rPr>
                <w:kern w:val="0"/>
                <w:sz w:val="24"/>
              </w:rPr>
              <w:t>①计算某个室内声源在靠近围护结构处的倍频带声压级：</w:t>
            </w:r>
          </w:p>
          <w:p>
            <w:pPr>
              <w:adjustRightInd w:val="0"/>
              <w:snapToGrid w:val="0"/>
              <w:ind w:firstLine="480" w:firstLineChars="200"/>
              <w:jc w:val="center"/>
              <w:rPr>
                <w:kern w:val="0"/>
                <w:sz w:val="24"/>
              </w:rPr>
            </w:pPr>
            <w:r>
              <w:rPr>
                <w:kern w:val="0"/>
                <w:sz w:val="24"/>
              </w:rPr>
              <w:drawing>
                <wp:inline distT="0" distB="0" distL="114300" distR="114300">
                  <wp:extent cx="2146300" cy="485775"/>
                  <wp:effectExtent l="0" t="0" r="635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2146300" cy="485775"/>
                          </a:xfrm>
                          <a:prstGeom prst="rect">
                            <a:avLst/>
                          </a:prstGeom>
                          <a:noFill/>
                          <a:ln>
                            <a:noFill/>
                          </a:ln>
                        </pic:spPr>
                      </pic:pic>
                    </a:graphicData>
                  </a:graphic>
                </wp:inline>
              </w:drawing>
            </w:r>
          </w:p>
          <w:p>
            <w:pPr>
              <w:adjustRightInd w:val="0"/>
              <w:snapToGrid w:val="0"/>
              <w:spacing w:line="480" w:lineRule="exact"/>
              <w:ind w:firstLine="480" w:firstLineChars="200"/>
              <w:rPr>
                <w:kern w:val="0"/>
                <w:sz w:val="24"/>
              </w:rPr>
            </w:pPr>
            <w:r>
              <w:rPr>
                <w:kern w:val="0"/>
                <w:sz w:val="24"/>
              </w:rPr>
              <w:t>式中：L</w:t>
            </w:r>
            <w:r>
              <w:rPr>
                <w:kern w:val="0"/>
                <w:sz w:val="24"/>
                <w:vertAlign w:val="subscript"/>
              </w:rPr>
              <w:t>oct，1</w:t>
            </w:r>
            <w:r>
              <w:rPr>
                <w:kern w:val="0"/>
                <w:sz w:val="24"/>
              </w:rPr>
              <w:t>——某个室内声源在靠近围护结构处产生的倍频带声压级，dB；</w:t>
            </w:r>
          </w:p>
          <w:p>
            <w:pPr>
              <w:adjustRightInd w:val="0"/>
              <w:snapToGrid w:val="0"/>
              <w:spacing w:line="480" w:lineRule="exact"/>
              <w:ind w:firstLine="480" w:firstLineChars="200"/>
              <w:rPr>
                <w:kern w:val="0"/>
                <w:sz w:val="24"/>
              </w:rPr>
            </w:pPr>
            <w:r>
              <w:rPr>
                <w:kern w:val="0"/>
                <w:sz w:val="24"/>
              </w:rPr>
              <w:t>L</w:t>
            </w:r>
            <w:r>
              <w:rPr>
                <w:kern w:val="0"/>
                <w:sz w:val="24"/>
                <w:vertAlign w:val="subscript"/>
              </w:rPr>
              <w:t>woc</w:t>
            </w:r>
            <w:r>
              <w:rPr>
                <w:kern w:val="0"/>
                <w:sz w:val="24"/>
              </w:rPr>
              <w:t>t ——某个声源的倍频带声功率级，dB；</w:t>
            </w:r>
          </w:p>
          <w:p>
            <w:pPr>
              <w:adjustRightInd w:val="0"/>
              <w:snapToGrid w:val="0"/>
              <w:spacing w:line="480" w:lineRule="exact"/>
              <w:ind w:firstLine="480" w:firstLineChars="200"/>
              <w:rPr>
                <w:kern w:val="0"/>
                <w:sz w:val="24"/>
              </w:rPr>
            </w:pPr>
            <w:r>
              <w:rPr>
                <w:rFonts w:hint="eastAsia"/>
                <w:kern w:val="0"/>
                <w:sz w:val="24"/>
              </w:rPr>
              <w:t>r</w:t>
            </w:r>
            <w:r>
              <w:rPr>
                <w:rFonts w:hint="eastAsia"/>
                <w:kern w:val="0"/>
                <w:sz w:val="24"/>
                <w:vertAlign w:val="subscript"/>
              </w:rPr>
              <w:t>1</w:t>
            </w:r>
            <w:r>
              <w:rPr>
                <w:kern w:val="0"/>
                <w:sz w:val="24"/>
              </w:rPr>
              <w:t>——室内某个声源与靠近围护结构处的距离，m；</w:t>
            </w:r>
          </w:p>
          <w:p>
            <w:pPr>
              <w:adjustRightInd w:val="0"/>
              <w:snapToGrid w:val="0"/>
              <w:spacing w:line="480" w:lineRule="exact"/>
              <w:ind w:firstLine="480" w:firstLineChars="200"/>
              <w:rPr>
                <w:kern w:val="0"/>
                <w:sz w:val="24"/>
              </w:rPr>
            </w:pPr>
            <w:r>
              <w:rPr>
                <w:kern w:val="0"/>
                <w:sz w:val="24"/>
              </w:rPr>
              <w:t>R ——房间常数，m</w:t>
            </w:r>
            <w:r>
              <w:rPr>
                <w:kern w:val="0"/>
                <w:sz w:val="24"/>
                <w:vertAlign w:val="superscript"/>
              </w:rPr>
              <w:t>2</w:t>
            </w:r>
            <w:r>
              <w:rPr>
                <w:kern w:val="0"/>
                <w:sz w:val="24"/>
              </w:rPr>
              <w:t>；</w:t>
            </w:r>
          </w:p>
          <w:p>
            <w:pPr>
              <w:adjustRightInd w:val="0"/>
              <w:snapToGrid w:val="0"/>
              <w:spacing w:line="480" w:lineRule="exact"/>
              <w:ind w:firstLine="480" w:firstLineChars="200"/>
              <w:rPr>
                <w:kern w:val="0"/>
                <w:sz w:val="24"/>
              </w:rPr>
            </w:pPr>
            <w:r>
              <w:rPr>
                <w:kern w:val="0"/>
                <w:sz w:val="24"/>
              </w:rPr>
              <w:t>Q——方向性因子，无量纲值。</w:t>
            </w:r>
          </w:p>
          <w:p>
            <w:pPr>
              <w:adjustRightInd w:val="0"/>
              <w:snapToGrid w:val="0"/>
              <w:spacing w:line="480" w:lineRule="exact"/>
              <w:ind w:firstLine="480" w:firstLineChars="200"/>
              <w:rPr>
                <w:kern w:val="0"/>
                <w:sz w:val="24"/>
              </w:rPr>
            </w:pPr>
            <w:r>
              <w:rPr>
                <w:kern w:val="0"/>
                <w:sz w:val="24"/>
              </w:rPr>
              <w:t>②计算所有室内声源在靠近围护结构处产生的总倍频带声压级：</w:t>
            </w:r>
            <w:r>
              <w:rPr>
                <w:kern w:val="0"/>
                <w:sz w:val="24"/>
              </w:rPr>
              <w:tab/>
            </w:r>
          </w:p>
          <w:p>
            <w:pPr>
              <w:adjustRightInd w:val="0"/>
              <w:snapToGrid w:val="0"/>
              <w:jc w:val="center"/>
              <w:rPr>
                <w:kern w:val="0"/>
                <w:sz w:val="24"/>
              </w:rPr>
            </w:pPr>
            <w:r>
              <w:rPr>
                <w:kern w:val="0"/>
                <w:sz w:val="24"/>
              </w:rPr>
              <w:drawing>
                <wp:inline distT="0" distB="0" distL="114300" distR="114300">
                  <wp:extent cx="2029460" cy="546735"/>
                  <wp:effectExtent l="0" t="0" r="8890"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5"/>
                          <a:stretch>
                            <a:fillRect/>
                          </a:stretch>
                        </pic:blipFill>
                        <pic:spPr>
                          <a:xfrm>
                            <a:off x="0" y="0"/>
                            <a:ext cx="2029460" cy="546735"/>
                          </a:xfrm>
                          <a:prstGeom prst="rect">
                            <a:avLst/>
                          </a:prstGeom>
                          <a:noFill/>
                          <a:ln>
                            <a:noFill/>
                          </a:ln>
                        </pic:spPr>
                      </pic:pic>
                    </a:graphicData>
                  </a:graphic>
                </wp:inline>
              </w:drawing>
            </w:r>
          </w:p>
          <w:p>
            <w:pPr>
              <w:adjustRightInd w:val="0"/>
              <w:snapToGrid w:val="0"/>
              <w:spacing w:line="480" w:lineRule="exact"/>
              <w:ind w:firstLine="480" w:firstLineChars="200"/>
              <w:rPr>
                <w:kern w:val="0"/>
                <w:sz w:val="24"/>
              </w:rPr>
            </w:pPr>
            <w:r>
              <w:rPr>
                <w:kern w:val="0"/>
                <w:sz w:val="24"/>
              </w:rPr>
              <w:t>③计算室外靠近围护结构处的声压级：</w:t>
            </w:r>
          </w:p>
          <w:p>
            <w:pPr>
              <w:adjustRightInd w:val="0"/>
              <w:snapToGrid w:val="0"/>
              <w:spacing w:line="480" w:lineRule="exact"/>
              <w:ind w:firstLine="480" w:firstLineChars="200"/>
              <w:jc w:val="center"/>
              <w:rPr>
                <w:kern w:val="0"/>
                <w:sz w:val="24"/>
              </w:rPr>
            </w:pPr>
            <w:r>
              <w:rPr>
                <w:kern w:val="0"/>
                <w:sz w:val="24"/>
              </w:rPr>
              <w:drawing>
                <wp:inline distT="0" distB="0" distL="114300" distR="114300">
                  <wp:extent cx="1749425" cy="264795"/>
                  <wp:effectExtent l="0" t="0" r="3175" b="19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1749425" cy="264795"/>
                          </a:xfrm>
                          <a:prstGeom prst="rect">
                            <a:avLst/>
                          </a:prstGeom>
                          <a:noFill/>
                          <a:ln>
                            <a:noFill/>
                          </a:ln>
                        </pic:spPr>
                      </pic:pic>
                    </a:graphicData>
                  </a:graphic>
                </wp:inline>
              </w:drawing>
            </w:r>
          </w:p>
          <w:p>
            <w:pPr>
              <w:adjustRightInd w:val="0"/>
              <w:snapToGrid w:val="0"/>
              <w:spacing w:line="480" w:lineRule="exact"/>
              <w:ind w:firstLine="480" w:firstLineChars="200"/>
              <w:rPr>
                <w:kern w:val="0"/>
                <w:sz w:val="24"/>
              </w:rPr>
            </w:pPr>
            <w:r>
              <w:rPr>
                <w:kern w:val="0"/>
                <w:sz w:val="24"/>
              </w:rPr>
              <w:t>④将室外声级L</w:t>
            </w:r>
            <w:r>
              <w:rPr>
                <w:kern w:val="0"/>
                <w:sz w:val="24"/>
                <w:vertAlign w:val="subscript"/>
              </w:rPr>
              <w:t>oct，2</w:t>
            </w:r>
            <w:r>
              <w:rPr>
                <w:kern w:val="0"/>
                <w:sz w:val="24"/>
              </w:rPr>
              <w:t>（T） 和透声面积换算成等效的室外声源，计算等效声源第i个倍频带的声功率级L</w:t>
            </w:r>
            <w:r>
              <w:rPr>
                <w:kern w:val="0"/>
                <w:sz w:val="24"/>
                <w:vertAlign w:val="subscript"/>
              </w:rPr>
              <w:t>w oct</w:t>
            </w:r>
            <w:r>
              <w:rPr>
                <w:kern w:val="0"/>
                <w:sz w:val="24"/>
              </w:rPr>
              <w:t>：</w:t>
            </w:r>
          </w:p>
          <w:p>
            <w:pPr>
              <w:adjustRightInd w:val="0"/>
              <w:snapToGrid w:val="0"/>
              <w:spacing w:line="480" w:lineRule="exact"/>
              <w:ind w:firstLine="480" w:firstLineChars="200"/>
              <w:jc w:val="center"/>
              <w:rPr>
                <w:kern w:val="0"/>
                <w:sz w:val="24"/>
              </w:rPr>
            </w:pPr>
            <w:r>
              <w:rPr>
                <w:kern w:val="0"/>
                <w:sz w:val="24"/>
              </w:rPr>
              <w:object>
                <v:shape id="_x0000_i1025" o:spt="75" type="#_x0000_t75" style="height:21.35pt;width:116.3pt;" o:ole="t" filled="f" o:preferrelative="t" stroked="f" coordsize="21600,21600">
                  <v:path/>
                  <v:fill on="f" focussize="0,0"/>
                  <v:stroke on="f"/>
                  <v:imagedata r:id="rId28" o:title=""/>
                  <o:lock v:ext="edit" aspectratio="t"/>
                  <w10:wrap type="none"/>
                  <w10:anchorlock/>
                </v:shape>
                <o:OLEObject Type="Embed" ProgID="Equation.3" ShapeID="_x0000_i1025" DrawAspect="Content" ObjectID="_1468075725" r:id="rId27">
                  <o:LockedField>false</o:LockedField>
                </o:OLEObject>
              </w:object>
            </w:r>
          </w:p>
          <w:p>
            <w:pPr>
              <w:adjustRightInd w:val="0"/>
              <w:snapToGrid w:val="0"/>
              <w:spacing w:line="480" w:lineRule="exact"/>
              <w:ind w:firstLine="480" w:firstLineChars="200"/>
              <w:rPr>
                <w:kern w:val="0"/>
                <w:sz w:val="24"/>
              </w:rPr>
            </w:pPr>
            <w:r>
              <w:rPr>
                <w:kern w:val="0"/>
                <w:sz w:val="24"/>
              </w:rPr>
              <w:t>式中：S——透声面积，m</w:t>
            </w:r>
            <w:r>
              <w:rPr>
                <w:kern w:val="0"/>
                <w:sz w:val="24"/>
                <w:vertAlign w:val="superscript"/>
              </w:rPr>
              <w:t>2</w:t>
            </w:r>
            <w:r>
              <w:rPr>
                <w:kern w:val="0"/>
                <w:sz w:val="24"/>
              </w:rPr>
              <w:t>。</w:t>
            </w:r>
          </w:p>
          <w:p>
            <w:pPr>
              <w:adjustRightInd w:val="0"/>
              <w:snapToGrid w:val="0"/>
              <w:spacing w:line="480" w:lineRule="exact"/>
              <w:ind w:firstLine="480" w:firstLineChars="200"/>
              <w:rPr>
                <w:kern w:val="0"/>
                <w:sz w:val="24"/>
              </w:rPr>
            </w:pPr>
            <w:r>
              <w:rPr>
                <w:kern w:val="0"/>
                <w:sz w:val="24"/>
              </w:rPr>
              <w:t>⑤等效室外声源的位置为围护结构的位置，其倍频带声功率级为L</w:t>
            </w:r>
            <w:r>
              <w:rPr>
                <w:kern w:val="0"/>
                <w:sz w:val="24"/>
                <w:vertAlign w:val="subscript"/>
              </w:rPr>
              <w:t>w oct</w:t>
            </w:r>
            <w:r>
              <w:rPr>
                <w:kern w:val="0"/>
                <w:sz w:val="24"/>
              </w:rPr>
              <w:t>，由此按室外声源方法计算等效室外声源在预测点产生的声级。</w:t>
            </w:r>
          </w:p>
          <w:p>
            <w:pPr>
              <w:adjustRightInd w:val="0"/>
              <w:snapToGrid w:val="0"/>
              <w:spacing w:line="480" w:lineRule="exact"/>
              <w:ind w:firstLine="480" w:firstLineChars="200"/>
              <w:rPr>
                <w:kern w:val="0"/>
                <w:sz w:val="24"/>
              </w:rPr>
            </w:pPr>
            <w:r>
              <w:rPr>
                <w:kern w:val="0"/>
                <w:sz w:val="24"/>
              </w:rPr>
              <w:t>⑥计算某个室外声源在预测点产生的倍频带声压级：</w:t>
            </w:r>
          </w:p>
          <w:p>
            <w:pPr>
              <w:adjustRightInd w:val="0"/>
              <w:snapToGrid w:val="0"/>
              <w:spacing w:line="480" w:lineRule="exact"/>
              <w:ind w:firstLine="480" w:firstLineChars="200"/>
              <w:jc w:val="center"/>
              <w:rPr>
                <w:kern w:val="0"/>
                <w:sz w:val="24"/>
              </w:rPr>
            </w:pPr>
            <w:r>
              <w:rPr>
                <w:kern w:val="0"/>
                <w:sz w:val="24"/>
              </w:rPr>
              <w:object>
                <v:shape id="_x0000_i1026" o:spt="75" type="#_x0000_t75" style="height:20.85pt;width:181.85pt;" o:ole="t" filled="f" o:preferrelative="t" stroked="f" coordsize="21600,21600">
                  <v:path/>
                  <v:fill on="f" focussize="0,0"/>
                  <v:stroke on="f"/>
                  <v:imagedata r:id="rId30" o:title=""/>
                  <o:lock v:ext="edit" aspectratio="t"/>
                  <w10:wrap type="none"/>
                  <w10:anchorlock/>
                </v:shape>
                <o:OLEObject Type="Embed" ProgID="Equation.3" ShapeID="_x0000_i1026" DrawAspect="Content" ObjectID="_1468075726" r:id="rId29">
                  <o:LockedField>false</o:LockedField>
                </o:OLEObject>
              </w:object>
            </w:r>
          </w:p>
          <w:p>
            <w:pPr>
              <w:adjustRightInd w:val="0"/>
              <w:snapToGrid w:val="0"/>
              <w:spacing w:line="480" w:lineRule="exact"/>
              <w:ind w:firstLine="480" w:firstLineChars="200"/>
              <w:rPr>
                <w:kern w:val="0"/>
                <w:sz w:val="24"/>
              </w:rPr>
            </w:pPr>
            <w:r>
              <w:rPr>
                <w:kern w:val="0"/>
                <w:sz w:val="24"/>
              </w:rPr>
              <w:t>式中：L</w:t>
            </w:r>
            <w:r>
              <w:rPr>
                <w:kern w:val="0"/>
                <w:sz w:val="24"/>
                <w:vertAlign w:val="subscript"/>
              </w:rPr>
              <w:t>oct</w:t>
            </w:r>
            <w:r>
              <w:rPr>
                <w:kern w:val="0"/>
                <w:sz w:val="24"/>
              </w:rPr>
              <w:t>（r）——点声源在预测点产生的倍频带声压级，dB；</w:t>
            </w:r>
          </w:p>
          <w:p>
            <w:pPr>
              <w:adjustRightInd w:val="0"/>
              <w:snapToGrid w:val="0"/>
              <w:spacing w:line="480" w:lineRule="exact"/>
              <w:ind w:firstLine="480" w:firstLineChars="200"/>
              <w:rPr>
                <w:kern w:val="0"/>
                <w:sz w:val="24"/>
              </w:rPr>
            </w:pPr>
            <w:r>
              <w:rPr>
                <w:kern w:val="0"/>
                <w:sz w:val="24"/>
              </w:rPr>
              <w:t>L</w:t>
            </w:r>
            <w:r>
              <w:rPr>
                <w:kern w:val="0"/>
                <w:sz w:val="24"/>
                <w:vertAlign w:val="subscript"/>
              </w:rPr>
              <w:t>oct</w:t>
            </w:r>
            <w:r>
              <w:rPr>
                <w:kern w:val="0"/>
                <w:sz w:val="24"/>
              </w:rPr>
              <w:t>（r</w:t>
            </w:r>
            <w:r>
              <w:rPr>
                <w:kern w:val="0"/>
                <w:sz w:val="24"/>
                <w:vertAlign w:val="subscript"/>
              </w:rPr>
              <w:t>0</w:t>
            </w:r>
            <w:r>
              <w:rPr>
                <w:kern w:val="0"/>
                <w:sz w:val="24"/>
              </w:rPr>
              <w:t>）——参考位置r</w:t>
            </w:r>
            <w:r>
              <w:rPr>
                <w:kern w:val="0"/>
                <w:sz w:val="24"/>
                <w:vertAlign w:val="subscript"/>
              </w:rPr>
              <w:t>0</w:t>
            </w:r>
            <w:r>
              <w:rPr>
                <w:kern w:val="0"/>
                <w:sz w:val="24"/>
              </w:rPr>
              <w:t>处的倍频带声压级，dB；</w:t>
            </w:r>
          </w:p>
          <w:p>
            <w:pPr>
              <w:adjustRightInd w:val="0"/>
              <w:snapToGrid w:val="0"/>
              <w:spacing w:line="480" w:lineRule="exact"/>
              <w:ind w:firstLine="480" w:firstLineChars="200"/>
              <w:rPr>
                <w:kern w:val="0"/>
                <w:sz w:val="24"/>
              </w:rPr>
            </w:pPr>
            <w:r>
              <w:rPr>
                <w:kern w:val="0"/>
                <w:sz w:val="24"/>
              </w:rPr>
              <w:t>r——预测点距声源的距离，m；</w:t>
            </w:r>
          </w:p>
          <w:p>
            <w:pPr>
              <w:adjustRightInd w:val="0"/>
              <w:snapToGrid w:val="0"/>
              <w:spacing w:line="480" w:lineRule="exact"/>
              <w:ind w:firstLine="480" w:firstLineChars="200"/>
              <w:rPr>
                <w:kern w:val="0"/>
                <w:sz w:val="24"/>
              </w:rPr>
            </w:pPr>
            <w:r>
              <w:rPr>
                <w:kern w:val="0"/>
                <w:sz w:val="24"/>
              </w:rPr>
              <w:t>r</w:t>
            </w:r>
            <w:r>
              <w:rPr>
                <w:kern w:val="0"/>
                <w:sz w:val="24"/>
                <w:vertAlign w:val="subscript"/>
              </w:rPr>
              <w:t>0</w:t>
            </w:r>
            <w:r>
              <w:rPr>
                <w:kern w:val="0"/>
                <w:sz w:val="24"/>
              </w:rPr>
              <w:t>——参考位置距声源的距离，m；</w:t>
            </w:r>
          </w:p>
          <w:p>
            <w:pPr>
              <w:adjustRightInd w:val="0"/>
              <w:snapToGrid w:val="0"/>
              <w:spacing w:line="480" w:lineRule="exact"/>
              <w:ind w:firstLine="480" w:firstLineChars="200"/>
              <w:rPr>
                <w:kern w:val="0"/>
                <w:sz w:val="24"/>
              </w:rPr>
            </w:pPr>
            <w:r>
              <w:rPr>
                <w:kern w:val="0"/>
                <w:sz w:val="24"/>
              </w:rPr>
              <w:t>△L</w:t>
            </w:r>
            <w:r>
              <w:rPr>
                <w:kern w:val="0"/>
                <w:sz w:val="24"/>
                <w:vertAlign w:val="subscript"/>
              </w:rPr>
              <w:t>oct</w:t>
            </w:r>
            <w:r>
              <w:rPr>
                <w:kern w:val="0"/>
                <w:sz w:val="24"/>
              </w:rPr>
              <w:t>各种因素引起的衰减量（包括声屏障、遮挡物、空气吸收、地面效应引起的衰减量，计算方法详见导则）。</w:t>
            </w:r>
          </w:p>
          <w:p>
            <w:pPr>
              <w:adjustRightInd w:val="0"/>
              <w:snapToGrid w:val="0"/>
              <w:spacing w:line="480" w:lineRule="exact"/>
              <w:ind w:firstLine="480" w:firstLineChars="200"/>
              <w:rPr>
                <w:kern w:val="0"/>
                <w:sz w:val="24"/>
              </w:rPr>
            </w:pPr>
            <w:r>
              <w:rPr>
                <w:kern w:val="0"/>
                <w:sz w:val="24"/>
              </w:rPr>
              <w:t>如果已知声源的倍频带声功率级L</w:t>
            </w:r>
            <w:r>
              <w:rPr>
                <w:kern w:val="0"/>
                <w:sz w:val="24"/>
                <w:vertAlign w:val="subscript"/>
              </w:rPr>
              <w:t>woct</w:t>
            </w:r>
            <w:r>
              <w:rPr>
                <w:kern w:val="0"/>
                <w:sz w:val="24"/>
              </w:rPr>
              <w:t>，且声源可看作是位于地面上的，则</w:t>
            </w:r>
          </w:p>
          <w:p>
            <w:pPr>
              <w:adjustRightInd w:val="0"/>
              <w:snapToGrid w:val="0"/>
              <w:spacing w:line="480" w:lineRule="exact"/>
              <w:ind w:firstLine="480" w:firstLineChars="200"/>
              <w:rPr>
                <w:kern w:val="0"/>
                <w:sz w:val="24"/>
              </w:rPr>
            </w:pPr>
            <w:bookmarkStart w:id="57" w:name="_Toc13791"/>
            <w:r>
              <w:rPr>
                <w:kern w:val="0"/>
                <w:sz w:val="24"/>
              </w:rPr>
              <w:t>L</w:t>
            </w:r>
            <w:r>
              <w:rPr>
                <w:kern w:val="0"/>
                <w:sz w:val="24"/>
                <w:vertAlign w:val="subscript"/>
              </w:rPr>
              <w:t>oct</w:t>
            </w:r>
            <w:r>
              <w:rPr>
                <w:kern w:val="0"/>
                <w:sz w:val="24"/>
              </w:rPr>
              <w:t>（r</w:t>
            </w:r>
            <w:r>
              <w:rPr>
                <w:kern w:val="0"/>
                <w:sz w:val="24"/>
                <w:vertAlign w:val="subscript"/>
              </w:rPr>
              <w:t>0</w:t>
            </w:r>
            <w:r>
              <w:rPr>
                <w:kern w:val="0"/>
                <w:sz w:val="24"/>
              </w:rPr>
              <w:t>）=L</w:t>
            </w:r>
            <w:r>
              <w:rPr>
                <w:kern w:val="0"/>
                <w:sz w:val="24"/>
                <w:vertAlign w:val="subscript"/>
              </w:rPr>
              <w:t>woct</w:t>
            </w:r>
            <w:r>
              <w:rPr>
                <w:kern w:val="0"/>
                <w:sz w:val="24"/>
              </w:rPr>
              <w:t>—20lgr</w:t>
            </w:r>
            <w:r>
              <w:rPr>
                <w:kern w:val="0"/>
                <w:sz w:val="24"/>
                <w:vertAlign w:val="subscript"/>
              </w:rPr>
              <w:t>0</w:t>
            </w:r>
            <w:r>
              <w:rPr>
                <w:kern w:val="0"/>
                <w:sz w:val="24"/>
              </w:rPr>
              <w:t>—8</w:t>
            </w:r>
            <w:bookmarkEnd w:id="57"/>
          </w:p>
          <w:p>
            <w:pPr>
              <w:adjustRightInd w:val="0"/>
              <w:snapToGrid w:val="0"/>
              <w:spacing w:line="480" w:lineRule="exact"/>
              <w:ind w:firstLine="480" w:firstLineChars="200"/>
              <w:rPr>
                <w:kern w:val="0"/>
                <w:sz w:val="24"/>
              </w:rPr>
            </w:pPr>
            <w:r>
              <w:rPr>
                <w:kern w:val="0"/>
                <w:sz w:val="24"/>
              </w:rPr>
              <w:t>⑦由各倍频带声压级合成计算该声源产生的A声级Leq（A）。</w:t>
            </w:r>
          </w:p>
          <w:p>
            <w:pPr>
              <w:adjustRightInd w:val="0"/>
              <w:snapToGrid w:val="0"/>
              <w:spacing w:line="480" w:lineRule="exact"/>
              <w:ind w:firstLine="480" w:firstLineChars="200"/>
              <w:rPr>
                <w:kern w:val="0"/>
                <w:sz w:val="24"/>
              </w:rPr>
            </w:pPr>
            <w:r>
              <w:rPr>
                <w:kern w:val="0"/>
                <w:sz w:val="24"/>
              </w:rPr>
              <w:t>⑧计算总声压级设第i个室外声源在预测点产生的A声级为L</w:t>
            </w:r>
            <w:r>
              <w:rPr>
                <w:kern w:val="0"/>
                <w:sz w:val="24"/>
                <w:vertAlign w:val="subscript"/>
              </w:rPr>
              <w:t>A in，i</w:t>
            </w:r>
            <w:r>
              <w:rPr>
                <w:kern w:val="0"/>
                <w:sz w:val="24"/>
              </w:rPr>
              <w:t>，在T时间内该声源工作时间为t</w:t>
            </w:r>
            <w:r>
              <w:rPr>
                <w:kern w:val="0"/>
                <w:sz w:val="24"/>
                <w:vertAlign w:val="subscript"/>
              </w:rPr>
              <w:t>in，i</w:t>
            </w:r>
            <w:r>
              <w:rPr>
                <w:kern w:val="0"/>
                <w:sz w:val="24"/>
              </w:rPr>
              <w:t>；第j个等效室外声源在预测点产生的A声级为L</w:t>
            </w:r>
            <w:r>
              <w:rPr>
                <w:kern w:val="0"/>
                <w:sz w:val="24"/>
                <w:vertAlign w:val="subscript"/>
              </w:rPr>
              <w:t>A out，j</w:t>
            </w:r>
            <w:r>
              <w:rPr>
                <w:kern w:val="0"/>
                <w:sz w:val="24"/>
              </w:rPr>
              <w:t>，在T时间内该声源工作时间为t</w:t>
            </w:r>
            <w:r>
              <w:rPr>
                <w:kern w:val="0"/>
                <w:sz w:val="24"/>
                <w:vertAlign w:val="subscript"/>
              </w:rPr>
              <w:t>out，j</w:t>
            </w:r>
            <w:r>
              <w:rPr>
                <w:kern w:val="0"/>
                <w:sz w:val="24"/>
              </w:rPr>
              <w:t>，则预测点的总等效声级为：</w:t>
            </w:r>
          </w:p>
          <w:p>
            <w:pPr>
              <w:adjustRightInd w:val="0"/>
              <w:snapToGrid w:val="0"/>
              <w:jc w:val="center"/>
              <w:rPr>
                <w:kern w:val="0"/>
                <w:sz w:val="24"/>
              </w:rPr>
            </w:pPr>
            <w:r>
              <w:rPr>
                <w:kern w:val="0"/>
                <w:sz w:val="24"/>
              </w:rPr>
              <w:drawing>
                <wp:inline distT="0" distB="0" distL="114300" distR="114300">
                  <wp:extent cx="3100705" cy="466090"/>
                  <wp:effectExtent l="0" t="0" r="4445" b="1016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1"/>
                          <a:stretch>
                            <a:fillRect/>
                          </a:stretch>
                        </pic:blipFill>
                        <pic:spPr>
                          <a:xfrm>
                            <a:off x="0" y="0"/>
                            <a:ext cx="3100705" cy="466090"/>
                          </a:xfrm>
                          <a:prstGeom prst="rect">
                            <a:avLst/>
                          </a:prstGeom>
                          <a:noFill/>
                          <a:ln>
                            <a:noFill/>
                          </a:ln>
                        </pic:spPr>
                      </pic:pic>
                    </a:graphicData>
                  </a:graphic>
                </wp:inline>
              </w:drawing>
            </w:r>
          </w:p>
          <w:p>
            <w:pPr>
              <w:adjustRightInd w:val="0"/>
              <w:snapToGrid w:val="0"/>
              <w:spacing w:line="480" w:lineRule="exact"/>
              <w:ind w:firstLine="480" w:firstLineChars="200"/>
              <w:rPr>
                <w:kern w:val="0"/>
                <w:sz w:val="24"/>
              </w:rPr>
            </w:pPr>
            <w:r>
              <w:rPr>
                <w:kern w:val="0"/>
                <w:sz w:val="24"/>
              </w:rPr>
              <w:t>式中：T——计算等效声级的时间，h；</w:t>
            </w:r>
          </w:p>
          <w:p>
            <w:pPr>
              <w:widowControl/>
              <w:spacing w:line="480" w:lineRule="atLeast"/>
              <w:ind w:firstLine="480" w:firstLineChars="200"/>
              <w:jc w:val="left"/>
              <w:rPr>
                <w:sz w:val="24"/>
              </w:rPr>
            </w:pPr>
            <w:r>
              <w:rPr>
                <w:kern w:val="0"/>
                <w:sz w:val="24"/>
              </w:rPr>
              <w:t>N——室外声源个数，M为等效室外声源个数</w:t>
            </w:r>
            <w:r>
              <w:rPr>
                <w:rFonts w:hint="eastAsia"/>
                <w:kern w:val="0"/>
                <w:sz w:val="24"/>
              </w:rPr>
              <w:t>。</w:t>
            </w:r>
          </w:p>
          <w:p>
            <w:pPr>
              <w:widowControl/>
              <w:spacing w:line="480" w:lineRule="atLeast"/>
              <w:ind w:firstLine="480" w:firstLineChars="200"/>
              <w:jc w:val="left"/>
              <w:rPr>
                <w:rFonts w:hint="eastAsia"/>
                <w:sz w:val="24"/>
              </w:rPr>
            </w:pPr>
            <w:r>
              <w:rPr>
                <w:rFonts w:hint="eastAsia"/>
                <w:kern w:val="0"/>
                <w:sz w:val="24"/>
              </w:rPr>
              <w:t>根据《环境影响评价技术导则声环境》（HJ2.4-2021），拟建项目以厂界噪声贡献值作为噪声评价量。估算出项目建成运行后的厂界噪声值，具体结果见下表。</w:t>
            </w:r>
          </w:p>
          <w:p>
            <w:pPr>
              <w:kinsoku/>
              <w:overflowPunct w:val="0"/>
              <w:topLinePunct/>
              <w:adjustRightInd/>
              <w:snapToGrid/>
              <w:spacing w:line="360" w:lineRule="auto"/>
              <w:jc w:val="center"/>
              <w:textAlignment w:val="center"/>
              <w:rPr>
                <w:rFonts w:hint="default" w:ascii="Times New Roman" w:hAnsi="Times New Roman" w:eastAsia="宋体" w:cs="Times New Roman"/>
                <w:b/>
                <w:bCs/>
                <w:color w:val="000000" w:themeColor="text1"/>
                <w:spacing w:val="12"/>
                <w14:textFill>
                  <w14:solidFill>
                    <w14:schemeClr w14:val="tx1"/>
                  </w14:solidFill>
                </w14:textFill>
              </w:rPr>
            </w:pPr>
            <w:r>
              <w:rPr>
                <w:rFonts w:hint="default" w:ascii="Times New Roman" w:hAnsi="Times New Roman" w:eastAsia="宋体" w:cs="Times New Roman"/>
                <w:b/>
                <w:bCs/>
                <w:color w:val="000000" w:themeColor="text1"/>
                <w:spacing w:val="12"/>
                <w14:textFill>
                  <w14:solidFill>
                    <w14:schemeClr w14:val="tx1"/>
                  </w14:solidFill>
                </w14:textFill>
              </w:rPr>
              <w:t>表4-</w:t>
            </w:r>
            <w:r>
              <w:rPr>
                <w:rFonts w:hint="default" w:ascii="Times New Roman" w:hAnsi="Times New Roman" w:eastAsia="宋体" w:cs="Times New Roman"/>
                <w:b/>
                <w:bCs/>
                <w:color w:val="000000" w:themeColor="text1"/>
                <w:spacing w:val="12"/>
                <w:lang w:val="en-US" w:eastAsia="zh-CN"/>
                <w14:textFill>
                  <w14:solidFill>
                    <w14:schemeClr w14:val="tx1"/>
                  </w14:solidFill>
                </w14:textFill>
              </w:rPr>
              <w:t>11</w:t>
            </w:r>
            <w:r>
              <w:rPr>
                <w:rFonts w:hint="default" w:ascii="Times New Roman" w:hAnsi="Times New Roman" w:eastAsia="宋体" w:cs="Times New Roman"/>
                <w:b/>
                <w:bCs/>
                <w:color w:val="000000" w:themeColor="text1"/>
                <w:spacing w:val="12"/>
                <w14:textFill>
                  <w14:solidFill>
                    <w14:schemeClr w14:val="tx1"/>
                  </w14:solidFill>
                </w14:textFill>
              </w:rPr>
              <w:t xml:space="preserve">   项目营运期厂界噪声贡献值预测结果</w:t>
            </w:r>
          </w:p>
          <w:tbl>
            <w:tblPr>
              <w:tblStyle w:val="33"/>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006"/>
              <w:gridCol w:w="1199"/>
              <w:gridCol w:w="752"/>
              <w:gridCol w:w="856"/>
              <w:gridCol w:w="854"/>
              <w:gridCol w:w="856"/>
              <w:gridCol w:w="85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78" w:type="dxa"/>
                  <w:vMerge w:val="restart"/>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声源单位</w:t>
                  </w:r>
                </w:p>
              </w:tc>
              <w:tc>
                <w:tcPr>
                  <w:tcW w:w="2203" w:type="dxa"/>
                  <w:gridSpan w:val="2"/>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东厂界</w:t>
                  </w:r>
                </w:p>
              </w:tc>
              <w:tc>
                <w:tcPr>
                  <w:tcW w:w="1606" w:type="dxa"/>
                  <w:gridSpan w:val="2"/>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南厂界</w:t>
                  </w:r>
                </w:p>
              </w:tc>
              <w:tc>
                <w:tcPr>
                  <w:tcW w:w="1708" w:type="dxa"/>
                  <w:gridSpan w:val="2"/>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西厂界</w:t>
                  </w:r>
                </w:p>
              </w:tc>
              <w:tc>
                <w:tcPr>
                  <w:tcW w:w="1739" w:type="dxa"/>
                  <w:gridSpan w:val="2"/>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78" w:type="dxa"/>
                  <w:vMerge w:val="continue"/>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005"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距离</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m)</w:t>
                  </w:r>
                </w:p>
              </w:tc>
              <w:tc>
                <w:tcPr>
                  <w:tcW w:w="1198"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贡献值dB(A)</w:t>
                  </w:r>
                </w:p>
              </w:tc>
              <w:tc>
                <w:tcPr>
                  <w:tcW w:w="751"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距离</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m)</w:t>
                  </w:r>
                </w:p>
              </w:tc>
              <w:tc>
                <w:tcPr>
                  <w:tcW w:w="855"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贡献值dB(A)</w:t>
                  </w:r>
                </w:p>
              </w:tc>
              <w:tc>
                <w:tcPr>
                  <w:tcW w:w="853"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距离</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m)</w:t>
                  </w:r>
                </w:p>
              </w:tc>
              <w:tc>
                <w:tcPr>
                  <w:tcW w:w="855"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贡献值dB(A)</w:t>
                  </w:r>
                </w:p>
              </w:tc>
              <w:tc>
                <w:tcPr>
                  <w:tcW w:w="853"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距离</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m)</w:t>
                  </w:r>
                </w:p>
              </w:tc>
              <w:tc>
                <w:tcPr>
                  <w:tcW w:w="886" w:type="dxa"/>
                  <w:vAlign w:val="center"/>
                </w:tcPr>
                <w:p>
                  <w:pPr>
                    <w:keepNext w:val="0"/>
                    <w:keepLines w:val="0"/>
                    <w:pageBreakBefore w:val="0"/>
                    <w:widowControl w:val="0"/>
                    <w:kinsoku/>
                    <w:wordWrap/>
                    <w:autoSpaceDE/>
                    <w:autoSpaceDN/>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78"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t>生产车间</w:t>
                  </w:r>
                </w:p>
              </w:tc>
              <w:tc>
                <w:tcPr>
                  <w:tcW w:w="1005"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23</w:t>
                  </w:r>
                </w:p>
              </w:tc>
              <w:tc>
                <w:tcPr>
                  <w:tcW w:w="1198"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49.9</w:t>
                  </w:r>
                </w:p>
              </w:tc>
              <w:tc>
                <w:tcPr>
                  <w:tcW w:w="751"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t>15</w:t>
                  </w:r>
                </w:p>
              </w:tc>
              <w:tc>
                <w:tcPr>
                  <w:tcW w:w="855"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53.6</w:t>
                  </w:r>
                </w:p>
              </w:tc>
              <w:tc>
                <w:tcPr>
                  <w:tcW w:w="853"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32</w:t>
                  </w:r>
                </w:p>
              </w:tc>
              <w:tc>
                <w:tcPr>
                  <w:tcW w:w="855"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47.0</w:t>
                  </w:r>
                </w:p>
              </w:tc>
              <w:tc>
                <w:tcPr>
                  <w:tcW w:w="853"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29</w:t>
                  </w:r>
                </w:p>
              </w:tc>
              <w:tc>
                <w:tcPr>
                  <w:tcW w:w="886" w:type="dxa"/>
                  <w:vAlign w:val="center"/>
                </w:tcPr>
                <w:p>
                  <w:pPr>
                    <w:keepNext w:val="0"/>
                    <w:keepLines w:val="0"/>
                    <w:pageBreakBefore w:val="0"/>
                    <w:widowControl w:val="0"/>
                    <w:kinsoku/>
                    <w:wordWrap/>
                    <w:overflowPunct w:val="0"/>
                    <w:topLinePunct/>
                    <w:autoSpaceDE/>
                    <w:autoSpaceDN/>
                    <w:bidi w:val="0"/>
                    <w:adjustRightInd w:val="0"/>
                    <w:snapToGrid w:val="0"/>
                    <w:jc w:val="center"/>
                    <w:textAlignment w:val="center"/>
                    <w:rPr>
                      <w:rFonts w:hint="default" w:ascii="Times New Roman" w:hAnsi="Times New Roman" w:eastAsia="宋体" w:cs="Times New Roman"/>
                      <w:color w:val="000000" w:themeColor="text1"/>
                      <w:spacing w:val="12"/>
                      <w:sz w:val="21"/>
                      <w:szCs w:val="21"/>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47.9</w:t>
                  </w:r>
                </w:p>
              </w:tc>
            </w:tr>
          </w:tbl>
          <w:p>
            <w:pPr>
              <w:kinsoku/>
              <w:overflowPunct w:val="0"/>
              <w:topLinePunct/>
              <w:adjustRightInd/>
              <w:snapToGrid/>
              <w:spacing w:line="360" w:lineRule="auto"/>
              <w:ind w:firstLine="528"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根据表4-</w:t>
            </w: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pacing w:val="12"/>
                <w:sz w:val="24"/>
                <w:szCs w:val="24"/>
                <w14:textFill>
                  <w14:solidFill>
                    <w14:schemeClr w14:val="tx1"/>
                  </w14:solidFill>
                </w14:textFill>
              </w:rPr>
              <w:t>的预测</w:t>
            </w:r>
            <w:r>
              <w:rPr>
                <w:rFonts w:hint="eastAsia" w:cs="Times New Roman"/>
                <w:color w:val="000000" w:themeColor="text1"/>
                <w:spacing w:val="12"/>
                <w:sz w:val="24"/>
                <w:szCs w:val="24"/>
                <w:lang w:eastAsia="zh-CN"/>
                <w14:textFill>
                  <w14:solidFill>
                    <w14:schemeClr w14:val="tx1"/>
                  </w14:solidFill>
                </w14:textFill>
              </w:rPr>
              <w:t>结果</w:t>
            </w:r>
            <w:r>
              <w:rPr>
                <w:rFonts w:hint="default" w:ascii="Times New Roman" w:hAnsi="Times New Roman" w:eastAsia="宋体" w:cs="Times New Roman"/>
                <w:color w:val="000000" w:themeColor="text1"/>
                <w:spacing w:val="12"/>
                <w:sz w:val="24"/>
                <w:szCs w:val="24"/>
                <w14:textFill>
                  <w14:solidFill>
                    <w14:schemeClr w14:val="tx1"/>
                  </w14:solidFill>
                </w14:textFill>
              </w:rPr>
              <w:t>，本项目营运期厂界噪声贡献值达标情况如下表：</w:t>
            </w:r>
          </w:p>
          <w:p>
            <w:pPr>
              <w:kinsoku/>
              <w:overflowPunct w:val="0"/>
              <w:topLinePunct/>
              <w:adjustRightInd/>
              <w:snapToGrid/>
              <w:spacing w:line="360" w:lineRule="auto"/>
              <w:jc w:val="center"/>
              <w:textAlignment w:val="center"/>
              <w:rPr>
                <w:rFonts w:hint="default" w:ascii="Times New Roman" w:hAnsi="Times New Roman" w:eastAsia="宋体" w:cs="Times New Roman"/>
                <w:b/>
                <w:bCs/>
                <w:color w:val="000000" w:themeColor="text1"/>
                <w:spacing w:val="12"/>
                <w14:textFill>
                  <w14:solidFill>
                    <w14:schemeClr w14:val="tx1"/>
                  </w14:solidFill>
                </w14:textFill>
              </w:rPr>
            </w:pPr>
            <w:r>
              <w:rPr>
                <w:rFonts w:hint="default" w:ascii="Times New Roman" w:hAnsi="Times New Roman" w:eastAsia="宋体" w:cs="Times New Roman"/>
                <w:b/>
                <w:bCs/>
                <w:color w:val="000000" w:themeColor="text1"/>
                <w:spacing w:val="12"/>
                <w14:textFill>
                  <w14:solidFill>
                    <w14:schemeClr w14:val="tx1"/>
                  </w14:solidFill>
                </w14:textFill>
              </w:rPr>
              <w:t>表 4-</w:t>
            </w:r>
            <w:r>
              <w:rPr>
                <w:rFonts w:hint="default" w:ascii="Times New Roman" w:hAnsi="Times New Roman" w:eastAsia="宋体" w:cs="Times New Roman"/>
                <w:b/>
                <w:bCs/>
                <w:color w:val="000000" w:themeColor="text1"/>
                <w:spacing w:val="12"/>
                <w:lang w:val="en-US" w:eastAsia="zh-CN"/>
                <w14:textFill>
                  <w14:solidFill>
                    <w14:schemeClr w14:val="tx1"/>
                  </w14:solidFill>
                </w14:textFill>
              </w:rPr>
              <w:t>12</w:t>
            </w:r>
            <w:r>
              <w:rPr>
                <w:rFonts w:hint="default" w:ascii="Times New Roman" w:hAnsi="Times New Roman" w:eastAsia="宋体" w:cs="Times New Roman"/>
                <w:b/>
                <w:bCs/>
                <w:color w:val="000000" w:themeColor="text1"/>
                <w:spacing w:val="12"/>
                <w14:textFill>
                  <w14:solidFill>
                    <w14:schemeClr w14:val="tx1"/>
                  </w14:solidFill>
                </w14:textFill>
              </w:rPr>
              <w:t xml:space="preserve">   项目营运期厂界噪声贡献值达标情况一览表    单位：dB（A）</w:t>
            </w:r>
          </w:p>
          <w:tbl>
            <w:tblPr>
              <w:tblStyle w:val="34"/>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613"/>
              <w:gridCol w:w="947"/>
              <w:gridCol w:w="1409"/>
              <w:gridCol w:w="1592"/>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7"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编号</w:t>
                  </w:r>
                </w:p>
              </w:tc>
              <w:tc>
                <w:tcPr>
                  <w:tcW w:w="1002"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点位</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时间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贡献值</w:t>
                  </w:r>
                </w:p>
              </w:tc>
              <w:tc>
                <w:tcPr>
                  <w:tcW w:w="989"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标准值</w:t>
                  </w:r>
                </w:p>
              </w:tc>
              <w:tc>
                <w:tcPr>
                  <w:tcW w:w="966"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pacing w:val="8"/>
                      <w14:textFill>
                        <w14:solidFill>
                          <w14:schemeClr w14:val="tx1"/>
                        </w14:solidFill>
                      </w14:textFill>
                    </w:rPr>
                  </w:pPr>
                  <w:r>
                    <w:rPr>
                      <w:rFonts w:hint="default" w:ascii="Times New Roman" w:hAnsi="Times New Roman" w:eastAsia="宋体" w:cs="Times New Roman"/>
                      <w:b/>
                      <w:color w:val="000000" w:themeColor="text1"/>
                      <w:spacing w:val="8"/>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1</w:t>
                  </w:r>
                </w:p>
              </w:tc>
              <w:tc>
                <w:tcPr>
                  <w:tcW w:w="1002"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项目东厂界</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昼间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49.9</w:t>
                  </w:r>
                </w:p>
              </w:tc>
              <w:tc>
                <w:tcPr>
                  <w:tcW w:w="989"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昼间：6</w:t>
                  </w:r>
                  <w:r>
                    <w:rPr>
                      <w:rFonts w:hint="default" w:ascii="Times New Roman" w:hAnsi="Times New Roman" w:eastAsia="宋体" w:cs="Times New Roman"/>
                      <w:color w:val="000000" w:themeColor="text1"/>
                      <w:spacing w:val="8"/>
                      <w:lang w:val="en-US" w:eastAsia="zh-CN"/>
                      <w14:textFill>
                        <w14:solidFill>
                          <w14:schemeClr w14:val="tx1"/>
                        </w14:solidFill>
                      </w14:textFill>
                    </w:rPr>
                    <w:t>0</w:t>
                  </w:r>
                </w:p>
                <w:p>
                  <w:pPr>
                    <w:widowControl w:val="0"/>
                    <w:kinsoku/>
                    <w:overflowPunct w:val="0"/>
                    <w:topLinePunct/>
                    <w:jc w:val="center"/>
                    <w:textAlignment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夜间：5</w:t>
                  </w:r>
                  <w:r>
                    <w:rPr>
                      <w:rFonts w:hint="default" w:ascii="Times New Roman" w:hAnsi="Times New Roman" w:eastAsia="宋体" w:cs="Times New Roman"/>
                      <w:color w:val="000000" w:themeColor="text1"/>
                      <w:spacing w:val="8"/>
                      <w:lang w:val="en-US" w:eastAsia="zh-CN"/>
                      <w14:textFill>
                        <w14:solidFill>
                          <w14:schemeClr w14:val="tx1"/>
                        </w14:solidFill>
                      </w14:textFill>
                    </w:rPr>
                    <w:t>0</w:t>
                  </w:r>
                </w:p>
              </w:tc>
              <w:tc>
                <w:tcPr>
                  <w:tcW w:w="966"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7"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1002"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夜间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c>
                <w:tcPr>
                  <w:tcW w:w="989" w:type="pct"/>
                  <w:vMerge w:val="continue"/>
                  <w:tcBorders>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eastAsia" w:ascii="Times New Roman" w:hAnsi="Times New Roman" w:eastAsia="宋体" w:cs="Times New Roman"/>
                      <w:color w:val="000000" w:themeColor="text1"/>
                      <w:spacing w:val="8"/>
                      <w:lang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2</w:t>
                  </w:r>
                </w:p>
              </w:tc>
              <w:tc>
                <w:tcPr>
                  <w:tcW w:w="1002"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项目南厂界</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昼间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53.6</w:t>
                  </w:r>
                </w:p>
              </w:tc>
              <w:tc>
                <w:tcPr>
                  <w:tcW w:w="989" w:type="pct"/>
                  <w:vMerge w:val="continue"/>
                  <w:tcBorders>
                    <w:left w:val="single" w:color="auto" w:sz="4" w:space="0"/>
                    <w:right w:val="single" w:color="auto" w:sz="4" w:space="0"/>
                  </w:tcBorders>
                  <w:vAlign w:val="center"/>
                </w:tcPr>
                <w:p>
                  <w:pPr>
                    <w:widowControl/>
                    <w:kinsoku/>
                    <w:overflowPunct w:val="0"/>
                    <w:topLinePunct/>
                    <w:jc w:val="both"/>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1002"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夜间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c>
                <w:tcPr>
                  <w:tcW w:w="989" w:type="pct"/>
                  <w:vMerge w:val="continue"/>
                  <w:tcBorders>
                    <w:left w:val="single" w:color="auto" w:sz="4" w:space="0"/>
                    <w:right w:val="single" w:color="auto" w:sz="4" w:space="0"/>
                  </w:tcBorders>
                  <w:vAlign w:val="center"/>
                </w:tcPr>
                <w:p>
                  <w:pPr>
                    <w:widowControl/>
                    <w:kinsoku/>
                    <w:overflowPunct w:val="0"/>
                    <w:topLinePunct/>
                    <w:jc w:val="both"/>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eastAsia" w:ascii="Times New Roman" w:hAnsi="Times New Roman" w:eastAsia="宋体" w:cs="Times New Roman"/>
                      <w:color w:val="000000" w:themeColor="text1"/>
                      <w:spacing w:val="8"/>
                      <w:lang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77"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3</w:t>
                  </w:r>
                </w:p>
              </w:tc>
              <w:tc>
                <w:tcPr>
                  <w:tcW w:w="1002"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项目西厂界</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昼间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eastAsia" w:cs="Times New Roman"/>
                      <w:color w:val="000000" w:themeColor="text1"/>
                      <w:spacing w:val="12"/>
                      <w:sz w:val="21"/>
                      <w:szCs w:val="21"/>
                      <w:lang w:val="en-US" w:eastAsia="zh-CN"/>
                      <w14:textFill>
                        <w14:solidFill>
                          <w14:schemeClr w14:val="tx1"/>
                        </w14:solidFill>
                      </w14:textFill>
                    </w:rPr>
                    <w:t>47.0</w:t>
                  </w:r>
                </w:p>
              </w:tc>
              <w:tc>
                <w:tcPr>
                  <w:tcW w:w="989" w:type="pct"/>
                  <w:vMerge w:val="continue"/>
                  <w:tcBorders>
                    <w:left w:val="single" w:color="auto" w:sz="4" w:space="0"/>
                    <w:right w:val="single" w:color="auto" w:sz="4" w:space="0"/>
                  </w:tcBorders>
                  <w:vAlign w:val="center"/>
                </w:tcPr>
                <w:p>
                  <w:pPr>
                    <w:widowControl/>
                    <w:kinsoku/>
                    <w:overflowPunct w:val="0"/>
                    <w:topLinePunct/>
                    <w:jc w:val="both"/>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3</w:t>
                  </w:r>
                </w:p>
              </w:tc>
              <w:tc>
                <w:tcPr>
                  <w:tcW w:w="1002"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项目西厂界</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夜间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c>
                <w:tcPr>
                  <w:tcW w:w="989" w:type="pct"/>
                  <w:vMerge w:val="continue"/>
                  <w:tcBorders>
                    <w:left w:val="single" w:color="auto" w:sz="4" w:space="0"/>
                    <w:right w:val="single" w:color="auto" w:sz="4" w:space="0"/>
                  </w:tcBorders>
                  <w:vAlign w:val="center"/>
                </w:tcPr>
                <w:p>
                  <w:pPr>
                    <w:widowControl/>
                    <w:kinsoku/>
                    <w:overflowPunct w:val="0"/>
                    <w:topLinePunct/>
                    <w:jc w:val="both"/>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7"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4</w:t>
                  </w:r>
                </w:p>
              </w:tc>
              <w:tc>
                <w:tcPr>
                  <w:tcW w:w="1002" w:type="pct"/>
                  <w:vMerge w:val="restart"/>
                  <w:tcBorders>
                    <w:top w:val="single" w:color="auto" w:sz="4" w:space="0"/>
                    <w:left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项目北厂界</w:t>
                  </w: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昼间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default" w:ascii="Times New Roman" w:hAnsi="Times New Roman" w:eastAsia="宋体" w:cs="Times New Roman"/>
                      <w:color w:val="000000" w:themeColor="text1"/>
                      <w:spacing w:val="8"/>
                      <w:lang w:val="en-US" w:eastAsia="zh-CN"/>
                      <w14:textFill>
                        <w14:solidFill>
                          <w14:schemeClr w14:val="tx1"/>
                        </w14:solidFill>
                      </w14:textFill>
                    </w:rPr>
                    <w:t>4</w:t>
                  </w:r>
                  <w:r>
                    <w:rPr>
                      <w:rFonts w:hint="eastAsia" w:cs="Times New Roman"/>
                      <w:color w:val="000000" w:themeColor="text1"/>
                      <w:spacing w:val="8"/>
                      <w:lang w:val="en-US" w:eastAsia="zh-CN"/>
                      <w14:textFill>
                        <w14:solidFill>
                          <w14:schemeClr w14:val="tx1"/>
                        </w14:solidFill>
                      </w14:textFill>
                    </w:rPr>
                    <w:t>7</w:t>
                  </w:r>
                  <w:r>
                    <w:rPr>
                      <w:rFonts w:hint="default" w:ascii="Times New Roman" w:hAnsi="Times New Roman" w:eastAsia="宋体" w:cs="Times New Roman"/>
                      <w:color w:val="000000" w:themeColor="text1"/>
                      <w:spacing w:val="8"/>
                      <w:lang w:val="en-US" w:eastAsia="zh-CN"/>
                      <w14:textFill>
                        <w14:solidFill>
                          <w14:schemeClr w14:val="tx1"/>
                        </w14:solidFill>
                      </w14:textFill>
                    </w:rPr>
                    <w:t>.9</w:t>
                  </w:r>
                </w:p>
              </w:tc>
              <w:tc>
                <w:tcPr>
                  <w:tcW w:w="989" w:type="pct"/>
                  <w:vMerge w:val="continue"/>
                  <w:tcBorders>
                    <w:left w:val="single" w:color="auto" w:sz="4" w:space="0"/>
                    <w:right w:val="single" w:color="auto" w:sz="4" w:space="0"/>
                  </w:tcBorders>
                  <w:vAlign w:val="center"/>
                </w:tcPr>
                <w:p>
                  <w:pPr>
                    <w:widowControl/>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77"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1002" w:type="pct"/>
                  <w:vMerge w:val="continue"/>
                  <w:tcBorders>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588"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夜间</w:t>
                  </w:r>
                </w:p>
              </w:tc>
              <w:tc>
                <w:tcPr>
                  <w:tcW w:w="875" w:type="pct"/>
                  <w:tcBorders>
                    <w:top w:val="single" w:color="auto" w:sz="4" w:space="0"/>
                    <w:left w:val="single" w:color="auto" w:sz="4" w:space="0"/>
                    <w:bottom w:val="single" w:color="auto" w:sz="4" w:space="0"/>
                    <w:right w:val="single" w:color="auto" w:sz="4"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pacing w:val="8"/>
                      <w:lang w:val="en-US"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c>
                <w:tcPr>
                  <w:tcW w:w="989" w:type="pct"/>
                  <w:vMerge w:val="continue"/>
                  <w:tcBorders>
                    <w:left w:val="single" w:color="auto" w:sz="4" w:space="0"/>
                    <w:right w:val="single" w:color="auto" w:sz="4" w:space="0"/>
                  </w:tcBorders>
                  <w:vAlign w:val="center"/>
                </w:tcPr>
                <w:p>
                  <w:pPr>
                    <w:widowControl/>
                    <w:kinsoku/>
                    <w:overflowPunct w:val="0"/>
                    <w:topLinePunct/>
                    <w:jc w:val="both"/>
                    <w:textAlignment w:val="center"/>
                    <w:rPr>
                      <w:rFonts w:hint="default" w:ascii="Times New Roman" w:hAnsi="Times New Roman" w:eastAsia="宋体" w:cs="Times New Roman"/>
                      <w:color w:val="000000" w:themeColor="text1"/>
                      <w:spacing w:val="8"/>
                      <w14:textFill>
                        <w14:solidFill>
                          <w14:schemeClr w14:val="tx1"/>
                        </w14:solidFill>
                      </w14:textFill>
                    </w:rPr>
                  </w:pPr>
                </w:p>
              </w:tc>
              <w:tc>
                <w:tcPr>
                  <w:tcW w:w="966" w:type="pct"/>
                  <w:tcBorders>
                    <w:top w:val="single" w:color="auto" w:sz="4" w:space="0"/>
                    <w:left w:val="single" w:color="auto" w:sz="4" w:space="0"/>
                    <w:bottom w:val="single" w:color="auto" w:sz="4" w:space="0"/>
                    <w:right w:val="single" w:color="auto" w:sz="4" w:space="0"/>
                  </w:tcBorders>
                </w:tcPr>
                <w:p>
                  <w:pPr>
                    <w:widowControl w:val="0"/>
                    <w:kinsoku/>
                    <w:overflowPunct w:val="0"/>
                    <w:topLinePunct/>
                    <w:jc w:val="center"/>
                    <w:textAlignment w:val="center"/>
                    <w:rPr>
                      <w:rFonts w:hint="eastAsia" w:ascii="Times New Roman" w:hAnsi="Times New Roman" w:eastAsia="宋体" w:cs="Times New Roman"/>
                      <w:color w:val="000000" w:themeColor="text1"/>
                      <w:spacing w:val="8"/>
                      <w:lang w:eastAsia="zh-CN"/>
                      <w14:textFill>
                        <w14:solidFill>
                          <w14:schemeClr w14:val="tx1"/>
                        </w14:solidFill>
                      </w14:textFill>
                    </w:rPr>
                  </w:pPr>
                  <w:r>
                    <w:rPr>
                      <w:rFonts w:hint="eastAsia" w:cs="Times New Roman"/>
                      <w:color w:val="000000" w:themeColor="text1"/>
                      <w:spacing w:val="8"/>
                      <w:lang w:val="en-US" w:eastAsia="zh-CN"/>
                      <w14:textFill>
                        <w14:solidFill>
                          <w14:schemeClr w14:val="tx1"/>
                        </w14:solidFill>
                      </w14:textFill>
                    </w:rPr>
                    <w:t>/</w:t>
                  </w:r>
                </w:p>
              </w:tc>
            </w:tr>
          </w:tbl>
          <w:p>
            <w:pPr>
              <w:pStyle w:val="31"/>
              <w:kinsoku/>
              <w:overflowPunct w:val="0"/>
              <w:topLinePunct/>
              <w:spacing w:after="0" w:line="360" w:lineRule="auto"/>
              <w:ind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（2）噪声污染防治措施可行性分析</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为进一步降低厂界噪声对外界环境的影响，建设方拟采取如下措施降低噪声对周边环境的影响：</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①将各设备位置合理布局，</w:t>
            </w:r>
            <w:r>
              <w:rPr>
                <w:rFonts w:hint="default" w:ascii="Times New Roman" w:hAnsi="Times New Roman" w:eastAsia="宋体" w:cs="Times New Roman"/>
                <w:color w:val="000000" w:themeColor="text1"/>
                <w:sz w:val="24"/>
                <w:szCs w:val="24"/>
                <w14:textFill>
                  <w14:solidFill>
                    <w14:schemeClr w14:val="tx1"/>
                  </w14:solidFill>
                </w14:textFill>
              </w:rPr>
              <w:t>噪声源分散布置在生产车间内，</w:t>
            </w:r>
            <w:r>
              <w:rPr>
                <w:rFonts w:hint="default" w:ascii="Times New Roman" w:hAnsi="Times New Roman" w:eastAsia="宋体" w:cs="Times New Roman"/>
                <w:color w:val="000000" w:themeColor="text1"/>
                <w:spacing w:val="12"/>
                <w:sz w:val="24"/>
                <w:szCs w:val="24"/>
                <w14:textFill>
                  <w14:solidFill>
                    <w14:schemeClr w14:val="tx1"/>
                  </w14:solidFill>
                </w14:textFill>
              </w:rPr>
              <w:t>避免对周边环境产生明显影响；</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②选用低噪设备，并采取隔声、吸声、消声和基础减震等处理措施</w:t>
            </w:r>
            <w:r>
              <w:rPr>
                <w:rFonts w:hint="default" w:ascii="Times New Roman" w:hAnsi="Times New Roman" w:eastAsia="宋体" w:cs="Times New Roman"/>
                <w:color w:val="000000" w:themeColor="text1"/>
                <w:sz w:val="24"/>
                <w:szCs w:val="24"/>
                <w14:textFill>
                  <w14:solidFill>
                    <w14:schemeClr w14:val="tx1"/>
                  </w14:solidFill>
                </w14:textFill>
              </w:rPr>
              <w:t>，从源头控制噪声</w:t>
            </w:r>
            <w:r>
              <w:rPr>
                <w:rFonts w:hint="default" w:ascii="Times New Roman" w:hAnsi="Times New Roman" w:eastAsia="宋体" w:cs="Times New Roman"/>
                <w:color w:val="000000" w:themeColor="text1"/>
                <w:spacing w:val="12"/>
                <w:sz w:val="24"/>
                <w:szCs w:val="24"/>
                <w14:textFill>
                  <w14:solidFill>
                    <w14:schemeClr w14:val="tx1"/>
                  </w14:solidFill>
                </w14:textFill>
              </w:rPr>
              <w:t>；</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③将部分高噪声设备</w:t>
            </w:r>
            <w:r>
              <w:rPr>
                <w:rFonts w:hint="default" w:ascii="Times New Roman" w:hAnsi="Times New Roman" w:eastAsia="宋体" w:cs="Times New Roman"/>
                <w:color w:val="000000" w:themeColor="text1"/>
                <w:spacing w:val="1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水泵）可采取地埋式</w:t>
            </w:r>
            <w:r>
              <w:rPr>
                <w:rFonts w:hint="default" w:ascii="Times New Roman" w:hAnsi="Times New Roman" w:eastAsia="宋体" w:cs="Times New Roman"/>
                <w:color w:val="000000" w:themeColor="text1"/>
                <w:spacing w:val="12"/>
                <w:sz w:val="24"/>
                <w:szCs w:val="24"/>
                <w14:textFill>
                  <w14:solidFill>
                    <w14:schemeClr w14:val="tx1"/>
                  </w14:solidFill>
                </w14:textFill>
              </w:rPr>
              <w:t>，并对高噪声设备做好基础减振和隔声等处理；</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④制定定期对设备进行保养与维护制度，保证设备处于良好的正常运行状态；</w:t>
            </w:r>
          </w:p>
          <w:p>
            <w:pPr>
              <w:kinsoku/>
              <w:overflowPunct w:val="0"/>
              <w:topLinePunct/>
              <w:autoSpaceDN/>
              <w:adjustRightInd/>
              <w:snapToGrid/>
              <w:spacing w:line="360" w:lineRule="auto"/>
              <w:ind w:firstLine="528" w:firstLineChars="200"/>
              <w:textAlignment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⑤生产车间门窗选用隔声性能良好材料，可使噪声得到一定的衰减。</w:t>
            </w:r>
          </w:p>
          <w:p>
            <w:pPr>
              <w:pStyle w:val="16"/>
              <w:kinsoku/>
              <w:overflowPunct w:val="0"/>
              <w:topLinePunct/>
              <w:spacing w:before="31" w:after="31" w:line="360" w:lineRule="auto"/>
              <w:ind w:left="0" w:leftChars="0" w:firstLine="528"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各声源在采取相应的隔声、吸声、降噪等措施后，声源对厂界的噪声贡献值较小，厂界噪声昼间预测值均可满足《工业企业厂界环境噪声排放标准》 (GB12348-2008) 中的</w:t>
            </w:r>
            <w:r>
              <w:rPr>
                <w:rFonts w:hint="default" w:ascii="Times New Roman" w:hAnsi="Times New Roman" w:eastAsia="宋体" w:cs="Times New Roman"/>
                <w:color w:val="000000" w:themeColor="text1"/>
                <w:spacing w:val="12"/>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12"/>
                <w:sz w:val="24"/>
                <w:szCs w:val="24"/>
                <w14:textFill>
                  <w14:solidFill>
                    <w14:schemeClr w14:val="tx1"/>
                  </w14:solidFill>
                </w14:textFill>
              </w:rPr>
              <w:t>类功能区标准要求，可做到厂界达标。</w:t>
            </w:r>
          </w:p>
          <w:p>
            <w:pPr>
              <w:pStyle w:val="16"/>
              <w:kinsoku/>
              <w:overflowPunct w:val="0"/>
              <w:topLinePunct/>
              <w:spacing w:before="31" w:after="31" w:line="360" w:lineRule="auto"/>
              <w:ind w:left="0" w:leftChars="0"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以上噪声治理措施容易实施，技术成熟可靠，投资费用较少，在经济上是可行的。</w:t>
            </w:r>
          </w:p>
          <w:p>
            <w:pPr>
              <w:pStyle w:val="31"/>
              <w:kinsoku/>
              <w:overflowPunct w:val="0"/>
              <w:topLinePunct/>
              <w:spacing w:after="0" w:line="360" w:lineRule="auto"/>
              <w:ind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（3）噪声监测计划</w:t>
            </w:r>
          </w:p>
          <w:p>
            <w:pPr>
              <w:pStyle w:val="31"/>
              <w:keepNext w:val="0"/>
              <w:keepLines w:val="0"/>
              <w:pageBreakBefore w:val="0"/>
              <w:widowControl/>
              <w:kinsoku/>
              <w:wordWrap/>
              <w:overflowPunct w:val="0"/>
              <w:topLinePunct/>
              <w:autoSpaceDE/>
              <w:autoSpaceDN/>
              <w:bidi w:val="0"/>
              <w:adjustRightInd/>
              <w:snapToGrid w:val="0"/>
              <w:spacing w:before="0" w:after="0" w:line="360" w:lineRule="auto"/>
              <w:ind w:right="0" w:firstLine="480" w:firstLineChars="200"/>
              <w:textAlignment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根据《排污单位自行监测技术指南总则（HJ 819-2017）》，项目噪声监测计划如下：</w:t>
            </w:r>
          </w:p>
          <w:p>
            <w:pPr>
              <w:pStyle w:val="11"/>
              <w:keepNext w:val="0"/>
              <w:keepLines w:val="0"/>
              <w:pageBreakBefore w:val="0"/>
              <w:widowControl w:val="0"/>
              <w:kinsoku/>
              <w:wordWrap/>
              <w:overflowPunct w:val="0"/>
              <w:topLinePunct/>
              <w:autoSpaceDE/>
              <w:autoSpaceDN/>
              <w:bidi w:val="0"/>
              <w:adjustRightInd/>
              <w:snapToGrid/>
              <w:spacing w:before="0" w:line="360" w:lineRule="auto"/>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项目日常监督性监测计划</w:t>
            </w:r>
          </w:p>
          <w:tbl>
            <w:tblPr>
              <w:tblStyle w:val="34"/>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862"/>
              <w:gridCol w:w="1510"/>
              <w:gridCol w:w="1354"/>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3"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监测类别</w:t>
                  </w:r>
                </w:p>
              </w:tc>
              <w:tc>
                <w:tcPr>
                  <w:tcW w:w="1157"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938"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监测因子</w:t>
                  </w:r>
                </w:p>
              </w:tc>
              <w:tc>
                <w:tcPr>
                  <w:tcW w:w="841"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1329"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33"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噪声监测</w:t>
                  </w:r>
                </w:p>
              </w:tc>
              <w:tc>
                <w:tcPr>
                  <w:tcW w:w="1157"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东南西北各厂界</w:t>
                  </w:r>
                </w:p>
              </w:tc>
              <w:tc>
                <w:tcPr>
                  <w:tcW w:w="938"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Leq(A)</w:t>
                  </w:r>
                </w:p>
              </w:tc>
              <w:tc>
                <w:tcPr>
                  <w:tcW w:w="841"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1次/季度</w:t>
                  </w:r>
                </w:p>
              </w:tc>
              <w:tc>
                <w:tcPr>
                  <w:tcW w:w="1329" w:type="pct"/>
                  <w:vAlign w:val="center"/>
                </w:tcPr>
                <w:p>
                  <w:pPr>
                    <w:pStyle w:val="31"/>
                    <w:widowControl w:val="0"/>
                    <w:kinsoku/>
                    <w:overflowPunct w:val="0"/>
                    <w:topLinePunct/>
                    <w:spacing w:before="0" w:after="0" w:line="240" w:lineRule="auto"/>
                    <w:ind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委托资质单位监测</w:t>
                  </w:r>
                </w:p>
              </w:tc>
            </w:tr>
          </w:tbl>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4、固体废物环境影响和保护措施分析</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本项目产生的固废主要为</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洗米米渣、</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质检不合格的次品；</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污水站污泥；废包装材料；员工生活垃圾</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和锅炉灰渣</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一般工业固体废物</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left"/>
              <w:textAlignment w:val="auto"/>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t>1）米渣：</w:t>
            </w:r>
            <w:r>
              <w:rPr>
                <w:rFonts w:hint="default" w:ascii="Times New Roman" w:hAnsi="Times New Roman" w:eastAsia="宋体" w:cs="Times New Roman"/>
                <w:color w:val="000000" w:themeColor="text1"/>
                <w:sz w:val="24"/>
                <w:szCs w:val="24"/>
                <w14:textFill>
                  <w14:solidFill>
                    <w14:schemeClr w14:val="tx1"/>
                  </w14:solidFill>
                </w14:textFill>
              </w:rPr>
              <w:t>洗米过程中将产生米渣，根据建设单位提供资料，米渣产生量约为原料清洗量的0.1%，本项目大米使用量为</w:t>
            </w:r>
            <w:r>
              <w:rPr>
                <w:rFonts w:hint="eastAsia" w:cs="Times New Roman"/>
                <w:color w:val="000000" w:themeColor="text1"/>
                <w:sz w:val="24"/>
                <w:szCs w:val="24"/>
                <w:lang w:val="en-US" w:eastAsia="zh-CN"/>
                <w14:textFill>
                  <w14:solidFill>
                    <w14:schemeClr w14:val="tx1"/>
                  </w14:solidFill>
                </w14:textFill>
              </w:rPr>
              <w:t>5100</w:t>
            </w:r>
            <w:r>
              <w:rPr>
                <w:rFonts w:hint="default" w:ascii="Times New Roman" w:hAnsi="Times New Roman" w:eastAsia="宋体" w:cs="Times New Roman"/>
                <w:color w:val="000000" w:themeColor="text1"/>
                <w:sz w:val="24"/>
                <w:szCs w:val="24"/>
                <w14:textFill>
                  <w14:solidFill>
                    <w14:schemeClr w14:val="tx1"/>
                  </w14:solidFill>
                </w14:textFill>
              </w:rPr>
              <w:t>t/a，则米渣产生量为</w:t>
            </w:r>
            <w:r>
              <w:rPr>
                <w:rFonts w:hint="eastAsia" w:cs="Times New Roman"/>
                <w:color w:val="000000" w:themeColor="text1"/>
                <w:sz w:val="24"/>
                <w:szCs w:val="24"/>
                <w:lang w:val="en-US" w:eastAsia="zh-CN"/>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统一收集后外售给饲料厂做原料</w:t>
            </w:r>
            <w:r>
              <w:rPr>
                <w:rFonts w:hint="default" w:ascii="Times New Roman" w:hAnsi="Times New Roman" w:eastAsia="宋体" w:cs="Times New Roman"/>
                <w:color w:val="000000" w:themeColor="text1"/>
                <w:sz w:val="24"/>
                <w:szCs w:val="24"/>
                <w14:textFill>
                  <w14:solidFill>
                    <w14:schemeClr w14:val="tx1"/>
                  </w14:solidFill>
                </w14:textFill>
              </w:rPr>
              <w:t>。根据《一般固体废物分类与代码》（GB/T39198-2020）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米渣属于</w:t>
            </w:r>
            <w:r>
              <w:rPr>
                <w:rFonts w:hint="default" w:ascii="Times New Roman" w:hAnsi="Times New Roman" w:eastAsia="宋体" w:cs="Times New Roman"/>
                <w:color w:val="000000" w:themeColor="text1"/>
                <w:sz w:val="24"/>
                <w:szCs w:val="24"/>
                <w14:textFill>
                  <w14:solidFill>
                    <w14:schemeClr w14:val="tx1"/>
                  </w14:solidFill>
                </w14:textFill>
              </w:rPr>
              <w:t>一般工业固体废物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类别代码为</w:t>
            </w:r>
            <w:r>
              <w:rPr>
                <w:rFonts w:hint="default" w:ascii="Times New Roman" w:hAnsi="Times New Roman" w:eastAsia="宋体" w:cs="Times New Roman"/>
                <w:color w:val="000000" w:themeColor="text1"/>
                <w:sz w:val="24"/>
                <w:szCs w:val="24"/>
                <w14:textFill>
                  <w14:solidFill>
                    <w14:schemeClr w14:val="tx1"/>
                  </w14:solidFill>
                </w14:textFill>
              </w:rPr>
              <w:t>130-001-39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left"/>
              <w:textAlignment w:val="auto"/>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t>2</w:t>
            </w:r>
            <w:r>
              <w:rPr>
                <w:rFonts w:hint="default" w:ascii="Times New Roman" w:hAnsi="Times New Roman" w:eastAsia="宋体" w:cs="Times New Roman"/>
                <w:b/>
                <w:bCs/>
                <w:i w:val="0"/>
                <w:iCs w:val="0"/>
                <w:color w:val="000000" w:themeColor="text1"/>
                <w:sz w:val="24"/>
                <w:szCs w:val="24"/>
                <w:u w:val="none"/>
                <w14:textFill>
                  <w14:solidFill>
                    <w14:schemeClr w14:val="tx1"/>
                  </w14:solidFill>
                </w14:textFill>
              </w:rPr>
              <w:t>）</w:t>
            </w:r>
            <w:r>
              <w:rPr>
                <w:rFonts w:hint="default" w:ascii="Times New Roman" w:hAnsi="Times New Roman" w:eastAsia="宋体" w:cs="Times New Roman"/>
                <w:b/>
                <w:bCs/>
                <w:i w:val="0"/>
                <w:iCs w:val="0"/>
                <w:color w:val="000000" w:themeColor="text1"/>
                <w:sz w:val="24"/>
                <w:szCs w:val="24"/>
                <w:u w:val="none"/>
                <w:lang w:eastAsia="zh-CN"/>
                <w14:textFill>
                  <w14:solidFill>
                    <w14:schemeClr w14:val="tx1"/>
                  </w14:solidFill>
                </w14:textFill>
              </w:rPr>
              <w:t>次品：</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根据建设单位提供资料，项目在生产过程中产生不合格的残次品按产品的1‰计，则本项目产生的残次品约为</w:t>
            </w:r>
            <w:r>
              <w:rPr>
                <w:rFonts w:hint="eastAsia" w:cs="Times New Roman"/>
                <w:i w:val="0"/>
                <w:iCs w:val="0"/>
                <w:color w:val="000000" w:themeColor="text1"/>
                <w:sz w:val="24"/>
                <w:szCs w:val="24"/>
                <w:u w:val="none"/>
                <w:lang w:val="en-US" w:eastAsia="zh-CN"/>
                <w14:textFill>
                  <w14:solidFill>
                    <w14:schemeClr w14:val="tx1"/>
                  </w14:solidFill>
                </w14:textFill>
              </w:rPr>
              <w:t>10</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t/a。统一收集后外售给饲料厂做原料。</w:t>
            </w:r>
            <w:r>
              <w:rPr>
                <w:rFonts w:hint="default" w:ascii="Times New Roman" w:hAnsi="Times New Roman" w:eastAsia="宋体" w:cs="Times New Roman"/>
                <w:color w:val="000000" w:themeColor="text1"/>
                <w:sz w:val="24"/>
                <w:szCs w:val="24"/>
                <w14:textFill>
                  <w14:solidFill>
                    <w14:schemeClr w14:val="tx1"/>
                  </w14:solidFill>
                </w14:textFill>
              </w:rPr>
              <w:t>根据《一般固体废物分类与代码》（GB/T39198-2020）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次品属于</w:t>
            </w:r>
            <w:r>
              <w:rPr>
                <w:rFonts w:hint="default" w:ascii="Times New Roman" w:hAnsi="Times New Roman" w:eastAsia="宋体" w:cs="Times New Roman"/>
                <w:color w:val="000000" w:themeColor="text1"/>
                <w:sz w:val="24"/>
                <w:szCs w:val="24"/>
                <w14:textFill>
                  <w14:solidFill>
                    <w14:schemeClr w14:val="tx1"/>
                  </w14:solidFill>
                </w14:textFill>
              </w:rPr>
              <w:t>一般工业固体废物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类别代码为</w:t>
            </w:r>
            <w:r>
              <w:rPr>
                <w:rFonts w:hint="default" w:ascii="Times New Roman" w:hAnsi="Times New Roman" w:eastAsia="宋体" w:cs="Times New Roman"/>
                <w:color w:val="000000" w:themeColor="text1"/>
                <w:sz w:val="24"/>
                <w:szCs w:val="24"/>
                <w14:textFill>
                  <w14:solidFill>
                    <w14:schemeClr w14:val="tx1"/>
                  </w14:solidFill>
                </w14:textFill>
              </w:rPr>
              <w:t>130-001-39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t>3</w:t>
            </w:r>
            <w:r>
              <w:rPr>
                <w:rFonts w:hint="default" w:ascii="Times New Roman" w:hAnsi="Times New Roman" w:eastAsia="宋体" w:cs="Times New Roman"/>
                <w:b/>
                <w:bCs/>
                <w:i w:val="0"/>
                <w:iCs w:val="0"/>
                <w:color w:val="000000" w:themeColor="text1"/>
                <w:sz w:val="24"/>
                <w:szCs w:val="24"/>
                <w:u w:val="none"/>
                <w14:textFill>
                  <w14:solidFill>
                    <w14:schemeClr w14:val="tx1"/>
                  </w14:solidFill>
                </w14:textFill>
              </w:rPr>
              <w:t>）污水处理站污泥</w:t>
            </w:r>
            <w:r>
              <w:rPr>
                <w:rFonts w:hint="default" w:ascii="Times New Roman" w:hAnsi="Times New Roman" w:eastAsia="宋体" w:cs="Times New Roman"/>
                <w:b/>
                <w:bCs/>
                <w:i w:val="0"/>
                <w:i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项目</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化粪池及</w:t>
            </w:r>
            <w:r>
              <w:rPr>
                <w:rFonts w:hint="default" w:ascii="Times New Roman" w:hAnsi="Times New Roman" w:eastAsia="宋体" w:cs="Times New Roman"/>
                <w:color w:val="000000" w:themeColor="text1"/>
                <w:sz w:val="24"/>
                <w:szCs w:val="24"/>
                <w14:textFill>
                  <w14:solidFill>
                    <w14:schemeClr w14:val="tx1"/>
                  </w14:solidFill>
                </w14:textFill>
              </w:rPr>
              <w:t>污水处理站的污泥产生量约为</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t/a（含水率80%左右），</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由于本项目属于食品加工，且不添加化学物质，其污泥属于一般固废，有机物含量较高，可作为周边</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农地</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施肥用。</w:t>
            </w:r>
            <w:r>
              <w:rPr>
                <w:rFonts w:hint="default" w:ascii="Times New Roman" w:hAnsi="Times New Roman" w:eastAsia="宋体" w:cs="Times New Roman"/>
                <w:color w:val="000000" w:themeColor="text1"/>
                <w:sz w:val="24"/>
                <w:szCs w:val="24"/>
                <w14:textFill>
                  <w14:solidFill>
                    <w14:schemeClr w14:val="tx1"/>
                  </w14:solidFill>
                </w14:textFill>
              </w:rPr>
              <w:t>根据《一般固体废物分类与代码》（GB/T39198-2020），污水处理站的污泥的一般固体废物类别为其他废物，类别代码900-999-99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left"/>
              <w:textAlignment w:val="auto"/>
              <w:rPr>
                <w:rFonts w:hint="default" w:ascii="Times New Roman" w:hAnsi="Times New Roman" w:eastAsia="宋体" w:cs="Times New Roman"/>
                <w:color w:val="000000" w:themeColor="text1"/>
                <w:kern w:val="0"/>
                <w:sz w:val="24"/>
                <w:szCs w:val="24"/>
                <w:u w:val="none"/>
                <w14:textFill>
                  <w14:solidFill>
                    <w14:schemeClr w14:val="tx1"/>
                  </w14:solidFill>
                </w14:textFill>
              </w:rPr>
            </w:pPr>
            <w:r>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t>4</w:t>
            </w:r>
            <w:r>
              <w:rPr>
                <w:rFonts w:hint="default" w:ascii="Times New Roman" w:hAnsi="Times New Roman" w:eastAsia="宋体" w:cs="Times New Roman"/>
                <w:b/>
                <w:bCs/>
                <w:i w:val="0"/>
                <w:iCs w:val="0"/>
                <w:color w:val="000000" w:themeColor="text1"/>
                <w:sz w:val="24"/>
                <w:szCs w:val="24"/>
                <w:u w:val="none"/>
                <w14:textFill>
                  <w14:solidFill>
                    <w14:schemeClr w14:val="tx1"/>
                  </w14:solidFill>
                </w14:textFill>
              </w:rPr>
              <w:t>）废包装材料</w:t>
            </w:r>
            <w:r>
              <w:rPr>
                <w:rFonts w:hint="default" w:ascii="Times New Roman" w:hAnsi="Times New Roman" w:eastAsia="宋体" w:cs="Times New Roman"/>
                <w:b/>
                <w:bCs/>
                <w:i w:val="0"/>
                <w:i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u w:val="none"/>
                <w14:textFill>
                  <w14:solidFill>
                    <w14:schemeClr w14:val="tx1"/>
                  </w14:solidFill>
                </w14:textFill>
              </w:rPr>
              <w:t>根据建设单位提供资料可知，项目原料或包装产生的废包装袋为</w:t>
            </w:r>
            <w:r>
              <w:rPr>
                <w:rFonts w:hint="eastAsia" w:cs="Times New Roman"/>
                <w:color w:val="000000" w:themeColor="text1"/>
                <w:kern w:val="0"/>
                <w:sz w:val="24"/>
                <w:szCs w:val="24"/>
                <w:u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u w:val="none"/>
                <w14:textFill>
                  <w14:solidFill>
                    <w14:schemeClr w14:val="tx1"/>
                  </w14:solidFill>
                </w14:textFill>
              </w:rPr>
              <w:t>t/a，集中收集出售利用。根据《一般固体废物分类与代码》（GB/T39198-2020），废包装的一般固体废物类别为废复合包装，类别代码223-001-07。</w:t>
            </w:r>
          </w:p>
          <w:p>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pacing w:val="4"/>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）锅炉灰渣：</w:t>
            </w:r>
            <w:r>
              <w:rPr>
                <w:rFonts w:hint="default" w:ascii="Times New Roman" w:hAnsi="Times New Roman" w:eastAsia="宋体" w:cs="Times New Roman"/>
                <w:color w:val="000000" w:themeColor="text1"/>
                <w:kern w:val="0"/>
                <w:sz w:val="24"/>
                <w:szCs w:val="24"/>
                <w:u w:val="none"/>
                <w14:textFill>
                  <w14:solidFill>
                    <w14:schemeClr w14:val="tx1"/>
                  </w14:solidFill>
                </w14:textFill>
              </w:rPr>
              <w:t>项目在生产过程中</w:t>
            </w:r>
            <w:r>
              <w:rPr>
                <w:rFonts w:hint="default" w:ascii="Times New Roman" w:hAnsi="Times New Roman" w:eastAsia="宋体" w:cs="Times New Roman"/>
                <w:color w:val="000000" w:themeColor="text1"/>
                <w:kern w:val="0"/>
                <w:sz w:val="24"/>
                <w:szCs w:val="24"/>
                <w:u w:val="none"/>
                <w:lang w:val="en-US" w:eastAsia="zh-CN"/>
                <w14:textFill>
                  <w14:solidFill>
                    <w14:schemeClr w14:val="tx1"/>
                  </w14:solidFill>
                </w14:textFill>
              </w:rPr>
              <w:t>使用</w:t>
            </w:r>
            <w:r>
              <w:rPr>
                <w:rFonts w:hint="default" w:ascii="Times New Roman" w:hAnsi="Times New Roman" w:eastAsia="宋体" w:cs="Times New Roman"/>
                <w:color w:val="000000" w:themeColor="text1"/>
                <w:kern w:val="0"/>
                <w:sz w:val="24"/>
                <w:szCs w:val="24"/>
                <w:u w:val="none"/>
                <w14:textFill>
                  <w14:solidFill>
                    <w14:schemeClr w14:val="tx1"/>
                  </w14:solidFill>
                </w14:textFill>
              </w:rPr>
              <w:t>生物质燃料</w:t>
            </w:r>
            <w:r>
              <w:rPr>
                <w:rFonts w:hint="eastAsia" w:cs="Times New Roman"/>
                <w:color w:val="000000" w:themeColor="text1"/>
                <w:kern w:val="0"/>
                <w:sz w:val="24"/>
                <w:szCs w:val="24"/>
                <w:u w:val="none"/>
                <w:lang w:val="en-US" w:eastAsia="zh-CN"/>
                <w14:textFill>
                  <w14:solidFill>
                    <w14:schemeClr w14:val="tx1"/>
                  </w14:solidFill>
                </w14:textFill>
              </w:rPr>
              <w:t>540</w:t>
            </w:r>
            <w:r>
              <w:rPr>
                <w:rFonts w:hint="default" w:ascii="Times New Roman" w:hAnsi="Times New Roman" w:eastAsia="宋体" w:cs="Times New Roman"/>
                <w:color w:val="000000" w:themeColor="text1"/>
                <w:kern w:val="0"/>
                <w:sz w:val="24"/>
                <w:szCs w:val="24"/>
                <w:u w:val="none"/>
                <w:lang w:val="en-US" w:eastAsia="zh-CN"/>
                <w14:textFill>
                  <w14:solidFill>
                    <w14:schemeClr w14:val="tx1"/>
                  </w14:solidFill>
                </w14:textFill>
              </w:rPr>
              <w:t>t/a，根据生物质燃料检测报告其</w:t>
            </w:r>
            <w:r>
              <w:rPr>
                <w:rFonts w:hint="default" w:ascii="Times New Roman" w:hAnsi="Times New Roman" w:eastAsia="宋体" w:cs="Times New Roman"/>
                <w:color w:val="000000" w:themeColor="text1"/>
                <w:kern w:val="0"/>
                <w:sz w:val="24"/>
                <w:szCs w:val="24"/>
                <w:u w:val="none"/>
                <w14:textFill>
                  <w14:solidFill>
                    <w14:schemeClr w14:val="tx1"/>
                  </w14:solidFill>
                </w14:textFill>
              </w:rPr>
              <w:t>灰份为</w:t>
            </w:r>
            <w:r>
              <w:rPr>
                <w:rFonts w:hint="default" w:ascii="Times New Roman" w:hAnsi="Times New Roman" w:eastAsia="宋体" w:cs="Times New Roman"/>
                <w:color w:val="000000" w:themeColor="text1"/>
                <w:kern w:val="0"/>
                <w:sz w:val="24"/>
                <w:szCs w:val="24"/>
                <w:u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u w:val="none"/>
                <w14:textFill>
                  <w14:solidFill>
                    <w14:schemeClr w14:val="tx1"/>
                  </w14:solidFill>
                </w14:textFill>
              </w:rPr>
              <w:t>%，则锅炉炉渣产生量约</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为</w:t>
            </w:r>
            <w:r>
              <w:rPr>
                <w:rFonts w:hint="eastAsia" w:cs="Times New Roman"/>
                <w:color w:val="000000" w:themeColor="text1"/>
                <w:kern w:val="0"/>
                <w:sz w:val="24"/>
                <w:szCs w:val="24"/>
                <w:u w:val="none"/>
                <w:lang w:val="en-US" w:eastAsia="zh-CN"/>
                <w14:textFill>
                  <w14:solidFill>
                    <w14:schemeClr w14:val="tx1"/>
                  </w14:solidFill>
                </w14:textFill>
              </w:rPr>
              <w:t>13.5</w:t>
            </w:r>
            <w:r>
              <w:rPr>
                <w:rFonts w:hint="default" w:ascii="Times New Roman" w:hAnsi="Times New Roman" w:eastAsia="宋体" w:cs="Times New Roman"/>
                <w:color w:val="000000" w:themeColor="text1"/>
                <w:kern w:val="0"/>
                <w:sz w:val="24"/>
                <w:szCs w:val="24"/>
                <w:u w:val="none"/>
                <w:lang w:val="en-US" w:eastAsia="zh-CN"/>
                <w14:textFill>
                  <w14:solidFill>
                    <w14:schemeClr w14:val="tx1"/>
                  </w14:solidFill>
                </w14:textFill>
              </w:rPr>
              <w:t>t/a</w:t>
            </w:r>
            <w:r>
              <w:rPr>
                <w:rFonts w:hint="default" w:ascii="Times New Roman" w:hAnsi="Times New Roman" w:eastAsia="宋体" w:cs="Times New Roman"/>
                <w:color w:val="000000" w:themeColor="text1"/>
                <w:kern w:val="0"/>
                <w:sz w:val="24"/>
                <w:szCs w:val="24"/>
                <w:u w:val="none"/>
                <w14:textFill>
                  <w14:solidFill>
                    <w14:schemeClr w14:val="tx1"/>
                  </w14:solidFill>
                </w14:textFill>
              </w:rPr>
              <w:t>，主要成份均为草木灰</w:t>
            </w:r>
            <w:r>
              <w:rPr>
                <w:rFonts w:hint="default" w:ascii="Times New Roman" w:hAnsi="Times New Roman" w:eastAsia="宋体"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u w:val="none"/>
                <w:lang w:eastAsia="zh-CN"/>
                <w14:textFill>
                  <w14:solidFill>
                    <w14:schemeClr w14:val="tx1"/>
                  </w14:solidFill>
                </w14:textFill>
              </w:rPr>
              <w:t>统一收集后用作农肥</w:t>
            </w:r>
            <w:r>
              <w:rPr>
                <w:rFonts w:hint="default" w:ascii="Times New Roman" w:hAnsi="Times New Roman" w:eastAsia="宋体" w:cs="Times New Roman"/>
                <w:color w:val="000000" w:themeColor="text1"/>
                <w:kern w:val="0"/>
                <w:sz w:val="24"/>
                <w:u w:val="none"/>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根据《一般固体废物分类与代码》（GB/T39198-2020）灰渣的一般固体废物类别为</w:t>
            </w:r>
            <w:r>
              <w:rPr>
                <w:rFonts w:hint="default" w:ascii="Times New Roman" w:hAnsi="Times New Roman" w:eastAsia="宋体" w:cs="Times New Roman"/>
                <w:color w:val="000000" w:themeColor="text1"/>
                <w:sz w:val="24"/>
                <w:lang w:eastAsia="zh-CN"/>
                <w14:textFill>
                  <w14:solidFill>
                    <w14:schemeClr w14:val="tx1"/>
                  </w14:solidFill>
                </w14:textFill>
              </w:rPr>
              <w:t>蒸汽锅炉</w:t>
            </w:r>
            <w:r>
              <w:rPr>
                <w:rFonts w:hint="default" w:ascii="Times New Roman" w:hAnsi="Times New Roman" w:eastAsia="宋体" w:cs="Times New Roman"/>
                <w:color w:val="000000" w:themeColor="text1"/>
                <w:sz w:val="24"/>
                <w14:textFill>
                  <w14:solidFill>
                    <w14:schemeClr w14:val="tx1"/>
                  </w14:solidFill>
                </w14:textFill>
              </w:rPr>
              <w:t>的炉渣，类别代码900-999-64</w:t>
            </w:r>
            <w:r>
              <w:rPr>
                <w:rFonts w:hint="default"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left"/>
              <w:textAlignment w:val="auto"/>
              <w:rPr>
                <w:rFonts w:hint="default" w:ascii="Times New Roman" w:hAnsi="Times New Roman" w:eastAsia="宋体" w:cs="Times New Roman"/>
                <w:i w:val="0"/>
                <w:iCs w:val="0"/>
                <w:color w:val="000000" w:themeColor="text1"/>
                <w:spacing w:val="4"/>
                <w:sz w:val="24"/>
                <w:szCs w:val="24"/>
                <w:u w:val="none"/>
                <w:lang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szCs w:val="24"/>
                <w:u w:val="none"/>
                <w:lang w:val="en-US" w:eastAsia="zh-CN"/>
                <w14:textFill>
                  <w14:solidFill>
                    <w14:schemeClr w14:val="tx1"/>
                  </w14:solidFill>
                </w14:textFill>
              </w:rPr>
              <w:t>6</w:t>
            </w:r>
            <w:r>
              <w:rPr>
                <w:rFonts w:hint="default" w:ascii="Times New Roman" w:hAnsi="Times New Roman" w:eastAsia="宋体" w:cs="Times New Roman"/>
                <w:b/>
                <w:bCs/>
                <w:i w:val="0"/>
                <w:iCs w:val="0"/>
                <w:color w:val="000000" w:themeColor="text1"/>
                <w:sz w:val="24"/>
                <w:szCs w:val="24"/>
                <w:u w:val="none"/>
                <w14:textFill>
                  <w14:solidFill>
                    <w14:schemeClr w14:val="tx1"/>
                  </w14:solidFill>
                </w14:textFill>
              </w:rPr>
              <w:t>）生活垃圾</w:t>
            </w:r>
            <w:r>
              <w:rPr>
                <w:rFonts w:hint="default" w:ascii="Times New Roman" w:hAnsi="Times New Roman" w:eastAsia="宋体" w:cs="Times New Roman"/>
                <w:b/>
                <w:bCs/>
                <w:i w:val="0"/>
                <w:i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本项目最大定员</w:t>
            </w:r>
            <w:r>
              <w:rPr>
                <w:rFonts w:hint="eastAsia" w:cs="Times New Roman"/>
                <w:i w:val="0"/>
                <w:iCs w:val="0"/>
                <w:color w:val="000000" w:themeColor="text1"/>
                <w:sz w:val="24"/>
                <w:szCs w:val="24"/>
                <w:u w:val="none"/>
                <w:lang w:val="en-US" w:eastAsia="zh-CN"/>
                <w14:textFill>
                  <w14:solidFill>
                    <w14:schemeClr w14:val="tx1"/>
                  </w14:solidFill>
                </w14:textFill>
              </w:rPr>
              <w:t>120</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人，按工作人员人均产生生活垃圾量为</w:t>
            </w:r>
            <w:r>
              <w:rPr>
                <w:rFonts w:hint="default"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0.5</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kg/d·人计，工作人员产生生活垃圾量为</w:t>
            </w:r>
            <w:r>
              <w:rPr>
                <w:rFonts w:hint="eastAsia" w:cs="Times New Roman"/>
                <w:i w:val="0"/>
                <w:iCs w:val="0"/>
                <w:color w:val="000000" w:themeColor="text1"/>
                <w:sz w:val="24"/>
                <w:szCs w:val="24"/>
                <w:u w:val="none"/>
                <w:lang w:val="en-US" w:eastAsia="zh-CN"/>
                <w14:textFill>
                  <w14:solidFill>
                    <w14:schemeClr w14:val="tx1"/>
                  </w14:solidFill>
                </w14:textFill>
              </w:rPr>
              <w:t>18</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t/d（</w:t>
            </w:r>
            <w:r>
              <w:rPr>
                <w:rFonts w:hint="eastAsia" w:cs="Times New Roman"/>
                <w:i w:val="0"/>
                <w:iCs w:val="0"/>
                <w:color w:val="000000" w:themeColor="text1"/>
                <w:sz w:val="24"/>
                <w:szCs w:val="24"/>
                <w:u w:val="none"/>
                <w:lang w:val="en-US" w:eastAsia="zh-CN"/>
                <w14:textFill>
                  <w14:solidFill>
                    <w14:schemeClr w14:val="tx1"/>
                  </w14:solidFill>
                </w14:textFill>
              </w:rPr>
              <w:t>0.06</w:t>
            </w: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t/a）</w:t>
            </w:r>
            <w:r>
              <w:rPr>
                <w:rFonts w:hint="default" w:ascii="Times New Roman" w:hAnsi="Times New Roman" w:eastAsia="宋体" w:cs="Times New Roman"/>
                <w:i w:val="0"/>
                <w:i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pacing w:val="4"/>
                <w:sz w:val="24"/>
                <w:szCs w:val="24"/>
                <w:u w:val="none"/>
                <w14:textFill>
                  <w14:solidFill>
                    <w14:schemeClr w14:val="tx1"/>
                  </w14:solidFill>
                </w14:textFill>
              </w:rPr>
              <w:t>生活垃圾由环卫部门</w:t>
            </w:r>
            <w:r>
              <w:rPr>
                <w:rFonts w:hint="default" w:ascii="Times New Roman" w:hAnsi="Times New Roman" w:eastAsia="宋体" w:cs="Times New Roman"/>
                <w:i w:val="0"/>
                <w:iCs w:val="0"/>
                <w:color w:val="000000" w:themeColor="text1"/>
                <w:spacing w:val="4"/>
                <w:sz w:val="24"/>
                <w:szCs w:val="24"/>
                <w:u w:val="none"/>
                <w:lang w:eastAsia="zh-CN"/>
                <w14:textFill>
                  <w14:solidFill>
                    <w14:schemeClr w14:val="tx1"/>
                  </w14:solidFill>
                </w14:textFill>
              </w:rPr>
              <w:t>统一清运处理。</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根据以上分析可知，本项目固体废弃物产生</w:t>
            </w:r>
            <w:r>
              <w:rPr>
                <w:rFonts w:hint="default" w:ascii="Times New Roman" w:hAnsi="Times New Roman" w:eastAsia="宋体" w:cs="Times New Roman"/>
                <w:color w:val="000000" w:themeColor="text1"/>
                <w:sz w:val="24"/>
                <w:lang w:val="en-US" w:eastAsia="zh-CN"/>
                <w14:textFill>
                  <w14:solidFill>
                    <w14:schemeClr w14:val="tx1"/>
                  </w14:solidFill>
                </w14:textFill>
              </w:rPr>
              <w:t>及处置</w:t>
            </w:r>
            <w:r>
              <w:rPr>
                <w:rFonts w:hint="default" w:ascii="Times New Roman" w:hAnsi="Times New Roman" w:eastAsia="宋体" w:cs="Times New Roman"/>
                <w:color w:val="000000" w:themeColor="text1"/>
                <w:sz w:val="24"/>
                <w14:textFill>
                  <w14:solidFill>
                    <w14:schemeClr w14:val="tx1"/>
                  </w14:solidFill>
                </w14:textFill>
              </w:rPr>
              <w:t>情况见下表：</w:t>
            </w:r>
          </w:p>
          <w:p>
            <w:pPr>
              <w:tabs>
                <w:tab w:val="left" w:pos="420"/>
                <w:tab w:val="left" w:pos="630"/>
              </w:tabs>
              <w:jc w:val="center"/>
              <w:rPr>
                <w:rFonts w:hint="default" w:ascii="Times New Roman" w:hAnsi="Times New Roman" w:eastAsia="宋体" w:cs="Times New Roman"/>
                <w:b/>
                <w:color w:val="000000" w:themeColor="text1"/>
                <w:sz w:val="22"/>
                <w14:textFill>
                  <w14:solidFill>
                    <w14:schemeClr w14:val="tx1"/>
                  </w14:solidFill>
                </w14:textFill>
              </w:rPr>
            </w:pPr>
            <w:bookmarkStart w:id="58" w:name="_Ref5090439"/>
            <w:r>
              <w:rPr>
                <w:rFonts w:hint="default" w:ascii="Times New Roman" w:hAnsi="Times New Roman" w:eastAsia="宋体" w:cs="Times New Roman"/>
                <w:b/>
                <w:color w:val="000000" w:themeColor="text1"/>
                <w:sz w:val="22"/>
                <w14:textFill>
                  <w14:solidFill>
                    <w14:schemeClr w14:val="tx1"/>
                  </w14:solidFill>
                </w14:textFill>
              </w:rPr>
              <w:t>表4-1</w:t>
            </w:r>
            <w:r>
              <w:rPr>
                <w:rFonts w:hint="default" w:ascii="Times New Roman" w:hAnsi="Times New Roman" w:eastAsia="宋体" w:cs="Times New Roman"/>
                <w:b/>
                <w:color w:val="000000" w:themeColor="text1"/>
                <w:sz w:val="22"/>
                <w:lang w:val="en-US" w:eastAsia="zh-CN"/>
                <w14:textFill>
                  <w14:solidFill>
                    <w14:schemeClr w14:val="tx1"/>
                  </w14:solidFill>
                </w14:textFill>
              </w:rPr>
              <w:t>4</w:t>
            </w:r>
            <w:r>
              <w:rPr>
                <w:rFonts w:hint="default" w:ascii="Times New Roman" w:hAnsi="Times New Roman" w:eastAsia="宋体" w:cs="Times New Roman"/>
                <w:b/>
                <w:color w:val="000000" w:themeColor="text1"/>
                <w:sz w:val="22"/>
                <w14:textFill>
                  <w14:solidFill>
                    <w14:schemeClr w14:val="tx1"/>
                  </w14:solidFill>
                </w14:textFill>
              </w:rPr>
              <w:t xml:space="preserve">   项目一般固体废弃物产生情况一览表</w:t>
            </w:r>
            <w:bookmarkEnd w:id="58"/>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56"/>
              <w:gridCol w:w="1323"/>
              <w:gridCol w:w="955"/>
              <w:gridCol w:w="1646"/>
              <w:gridCol w:w="737"/>
              <w:gridCol w:w="1050"/>
              <w:gridCol w:w="1404"/>
              <w:gridCol w:w="5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808"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污染物名称</w:t>
                  </w:r>
                </w:p>
              </w:tc>
              <w:tc>
                <w:tcPr>
                  <w:tcW w:w="584"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产生环节</w:t>
                  </w:r>
                </w:p>
              </w:tc>
              <w:tc>
                <w:tcPr>
                  <w:tcW w:w="988"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性质（代码）</w:t>
                  </w:r>
                </w:p>
              </w:tc>
              <w:tc>
                <w:tcPr>
                  <w:tcW w:w="451"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主要成分</w:t>
                  </w:r>
                </w:p>
              </w:tc>
              <w:tc>
                <w:tcPr>
                  <w:tcW w:w="641"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产生量（t/a）</w:t>
                  </w:r>
                </w:p>
              </w:tc>
              <w:tc>
                <w:tcPr>
                  <w:tcW w:w="857"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处理措施</w:t>
                  </w:r>
                </w:p>
              </w:tc>
              <w:tc>
                <w:tcPr>
                  <w:tcW w:w="325" w:type="pct"/>
                  <w:vAlign w:val="center"/>
                </w:tcPr>
                <w:p>
                  <w:pPr>
                    <w:tabs>
                      <w:tab w:val="right" w:pos="7832"/>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4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808"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米渣</w:t>
                  </w:r>
                  <w:r>
                    <w:rPr>
                      <w:rFonts w:hint="default" w:ascii="Times New Roman" w:hAnsi="Times New Roman" w:eastAsia="宋体" w:cs="Times New Roman"/>
                      <w:color w:val="000000" w:themeColor="text1"/>
                      <w:szCs w:val="21"/>
                      <w14:textFill>
                        <w14:solidFill>
                          <w14:schemeClr w14:val="tx1"/>
                        </w14:solidFill>
                      </w14:textFill>
                    </w:rPr>
                    <w:t>、不合格品</w:t>
                  </w:r>
                </w:p>
              </w:tc>
              <w:tc>
                <w:tcPr>
                  <w:tcW w:w="584" w:type="pct"/>
                  <w:vAlign w:val="center"/>
                </w:tcPr>
                <w:p>
                  <w:pPr>
                    <w:tabs>
                      <w:tab w:val="right" w:pos="7832"/>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洗米和质检</w:t>
                  </w:r>
                </w:p>
              </w:tc>
              <w:tc>
                <w:tcPr>
                  <w:tcW w:w="988"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一般工业固体废物（130-001-39）</w:t>
                  </w:r>
                </w:p>
              </w:tc>
              <w:tc>
                <w:tcPr>
                  <w:tcW w:w="45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米渣、</w:t>
                  </w:r>
                  <w:r>
                    <w:rPr>
                      <w:rFonts w:hint="default" w:ascii="Times New Roman" w:hAnsi="Times New Roman" w:eastAsia="宋体" w:cs="Times New Roman"/>
                      <w:color w:val="000000" w:themeColor="text1"/>
                      <w:szCs w:val="21"/>
                      <w14:textFill>
                        <w14:solidFill>
                          <w14:schemeClr w14:val="tx1"/>
                        </w14:solidFill>
                      </w14:textFill>
                    </w:rPr>
                    <w:t>淀粉</w:t>
                  </w:r>
                </w:p>
              </w:tc>
              <w:tc>
                <w:tcPr>
                  <w:tcW w:w="641" w:type="pct"/>
                  <w:vAlign w:val="center"/>
                </w:tcPr>
                <w:p>
                  <w:pPr>
                    <w:tabs>
                      <w:tab w:val="right" w:pos="7832"/>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15.1</w:t>
                  </w:r>
                </w:p>
              </w:tc>
              <w:tc>
                <w:tcPr>
                  <w:tcW w:w="857"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出售外卖利用</w:t>
                  </w:r>
                </w:p>
              </w:tc>
              <w:tc>
                <w:tcPr>
                  <w:tcW w:w="325"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80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污水处理站的污泥</w:t>
                  </w:r>
                </w:p>
              </w:tc>
              <w:tc>
                <w:tcPr>
                  <w:tcW w:w="584"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废水处理</w:t>
                  </w:r>
                </w:p>
              </w:tc>
              <w:tc>
                <w:tcPr>
                  <w:tcW w:w="98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一般工业固体废物（900-999-99</w:t>
                  </w:r>
                  <w:r>
                    <w:rPr>
                      <w:rFonts w:hint="default" w:ascii="Times New Roman" w:hAnsi="Times New Roman" w:eastAsia="宋体" w:cs="Times New Roman"/>
                      <w:color w:val="000000" w:themeColor="text1"/>
                      <w:sz w:val="24"/>
                      <w14:textFill>
                        <w14:solidFill>
                          <w14:schemeClr w14:val="tx1"/>
                        </w14:solidFill>
                      </w14:textFill>
                    </w:rPr>
                    <w:t>）</w:t>
                  </w:r>
                </w:p>
              </w:tc>
              <w:tc>
                <w:tcPr>
                  <w:tcW w:w="45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污泥</w:t>
                  </w:r>
                </w:p>
              </w:tc>
              <w:tc>
                <w:tcPr>
                  <w:tcW w:w="64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857"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作为有机肥料</w:t>
                  </w:r>
                  <w:r>
                    <w:rPr>
                      <w:rFonts w:hint="default" w:ascii="Times New Roman" w:hAnsi="Times New Roman" w:eastAsia="宋体" w:cs="Times New Roman"/>
                      <w:color w:val="000000" w:themeColor="text1"/>
                      <w:szCs w:val="21"/>
                      <w:lang w:val="en-US" w:eastAsia="zh-CN"/>
                      <w14:textFill>
                        <w14:solidFill>
                          <w14:schemeClr w14:val="tx1"/>
                        </w14:solidFill>
                      </w14:textFill>
                    </w:rPr>
                    <w:t>利用</w:t>
                  </w:r>
                </w:p>
              </w:tc>
              <w:tc>
                <w:tcPr>
                  <w:tcW w:w="325"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80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废包装袋</w:t>
                  </w:r>
                </w:p>
              </w:tc>
              <w:tc>
                <w:tcPr>
                  <w:tcW w:w="584"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包装</w:t>
                  </w:r>
                </w:p>
              </w:tc>
              <w:tc>
                <w:tcPr>
                  <w:tcW w:w="98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一般工业固体废物（223-001-07）</w:t>
                  </w:r>
                </w:p>
              </w:tc>
              <w:tc>
                <w:tcPr>
                  <w:tcW w:w="45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塑料</w:t>
                  </w:r>
                </w:p>
              </w:tc>
              <w:tc>
                <w:tcPr>
                  <w:tcW w:w="64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857"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出售外卖利用</w:t>
                  </w:r>
                </w:p>
              </w:tc>
              <w:tc>
                <w:tcPr>
                  <w:tcW w:w="325"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80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灰渣</w:t>
                  </w:r>
                </w:p>
              </w:tc>
              <w:tc>
                <w:tcPr>
                  <w:tcW w:w="584"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生物质燃烧</w:t>
                  </w:r>
                </w:p>
              </w:tc>
              <w:tc>
                <w:tcPr>
                  <w:tcW w:w="98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一般工业固体废物（900-999-64）</w:t>
                  </w:r>
                </w:p>
              </w:tc>
              <w:tc>
                <w:tcPr>
                  <w:tcW w:w="45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灰尘</w:t>
                  </w:r>
                </w:p>
              </w:tc>
              <w:tc>
                <w:tcPr>
                  <w:tcW w:w="64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3.4</w:t>
                  </w:r>
                </w:p>
              </w:tc>
              <w:tc>
                <w:tcPr>
                  <w:tcW w:w="857"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作为有机肥料出售</w:t>
                  </w:r>
                </w:p>
              </w:tc>
              <w:tc>
                <w:tcPr>
                  <w:tcW w:w="325"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1" w:type="pct"/>
                  <w:vAlign w:val="center"/>
                </w:tcPr>
                <w:p>
                  <w:pPr>
                    <w:tabs>
                      <w:tab w:val="right" w:pos="7832"/>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80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584"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办公生活</w:t>
                  </w:r>
                </w:p>
              </w:tc>
              <w:tc>
                <w:tcPr>
                  <w:tcW w:w="988"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45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641"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w:t>
                  </w:r>
                </w:p>
              </w:tc>
              <w:tc>
                <w:tcPr>
                  <w:tcW w:w="857"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环卫部门清运</w:t>
                  </w:r>
                </w:p>
              </w:tc>
              <w:tc>
                <w:tcPr>
                  <w:tcW w:w="325" w:type="pct"/>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（2）固体废物环境影响分析</w:t>
            </w:r>
          </w:p>
          <w:p>
            <w:pPr>
              <w:spacing w:line="360" w:lineRule="auto"/>
              <w:ind w:firstLine="482"/>
              <w:jc w:val="left"/>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综上所述，本项目产生的固体废物经过分类处理处置后可达到《中华人民共和国固体废物污染环境防治法》的要求和相关管理规定，没有形成二次污染，不会对环境造成明显影响。</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5、地下水、土壤环境影响分析</w:t>
            </w:r>
          </w:p>
          <w:p>
            <w:pPr>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（1）污染源及途径</w:t>
            </w:r>
          </w:p>
          <w:p>
            <w:pPr>
              <w:snapToGrid w:val="0"/>
              <w:spacing w:line="348" w:lineRule="auto"/>
              <w:ind w:left="-15"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根据工程分析和项目特点，本项目涉及的污染源分析见下表：</w:t>
            </w:r>
          </w:p>
          <w:p>
            <w:pPr>
              <w:tabs>
                <w:tab w:val="left" w:pos="420"/>
                <w:tab w:val="left" w:pos="630"/>
              </w:tabs>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表4-1</w:t>
            </w:r>
            <w:r>
              <w:rPr>
                <w:rFonts w:hint="default"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 xml:space="preserve">   项目地下水污染源和污染途经分析情况表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2"/>
              <w:gridCol w:w="2933"/>
              <w:gridCol w:w="1417"/>
              <w:gridCol w:w="24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0"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污染源</w:t>
                  </w:r>
                </w:p>
              </w:tc>
              <w:tc>
                <w:tcPr>
                  <w:tcW w:w="1787"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主要污染物</w:t>
                  </w:r>
                </w:p>
              </w:tc>
              <w:tc>
                <w:tcPr>
                  <w:tcW w:w="863"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污染物类型</w:t>
                  </w:r>
                </w:p>
              </w:tc>
              <w:tc>
                <w:tcPr>
                  <w:tcW w:w="1519"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可能污染</w:t>
                  </w:r>
                  <w:r>
                    <w:rPr>
                      <w:rFonts w:hint="eastAsia" w:cs="Times New Roman"/>
                      <w:b/>
                      <w:bCs/>
                      <w:color w:val="000000" w:themeColor="text1"/>
                      <w:kern w:val="0"/>
                      <w:szCs w:val="21"/>
                      <w:lang w:eastAsia="zh-CN"/>
                      <w14:textFill>
                        <w14:solidFill>
                          <w14:schemeClr w14:val="tx1"/>
                        </w14:solidFill>
                      </w14:textFill>
                    </w:rPr>
                    <w:t>途径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废水处理设施</w:t>
                  </w:r>
                </w:p>
              </w:tc>
              <w:tc>
                <w:tcPr>
                  <w:tcW w:w="3312" w:type="dxa"/>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综合废水（COD、BOD</w:t>
                  </w:r>
                  <w:r>
                    <w:rPr>
                      <w:rFonts w:hint="default" w:ascii="Times New Roman" w:hAnsi="Times New Roman" w:eastAsia="宋体" w:cs="Times New Roman"/>
                      <w:color w:val="000000" w:themeColor="text1"/>
                      <w:kern w:val="0"/>
                      <w:szCs w:val="21"/>
                      <w:vertAlign w:val="subscript"/>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、氨氮和SS等）</w:t>
                  </w:r>
                </w:p>
              </w:tc>
              <w:tc>
                <w:tcPr>
                  <w:tcW w:w="863"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有机污染物</w:t>
                  </w:r>
                </w:p>
              </w:tc>
              <w:tc>
                <w:tcPr>
                  <w:tcW w:w="1519"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事故泄漏对地下水和土壤影响</w:t>
                  </w:r>
                </w:p>
              </w:tc>
            </w:tr>
          </w:tbl>
          <w:p>
            <w:pPr>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（2）分区防控</w:t>
            </w:r>
            <w:r>
              <w:rPr>
                <w:rFonts w:hint="default" w:ascii="Times New Roman" w:hAnsi="Times New Roman" w:eastAsia="宋体" w:cs="Times New Roman"/>
                <w:color w:val="000000" w:themeColor="text1"/>
                <w:sz w:val="24"/>
                <w:szCs w:val="20"/>
                <w14:textFill>
                  <w14:solidFill>
                    <w14:schemeClr w14:val="tx1"/>
                  </w14:solidFill>
                </w14:textFill>
              </w:rPr>
              <w:t>防渗措施</w:t>
            </w:r>
          </w:p>
          <w:p>
            <w:pPr>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按照污染物可能对地下水和土壤造成的影响，将厂区划分重点防渗区、一般防渗区和简单防渗区，根据本项目建设内容，具体防渗划分情况见下表：</w:t>
            </w:r>
          </w:p>
          <w:p>
            <w:pPr>
              <w:tabs>
                <w:tab w:val="left" w:pos="420"/>
                <w:tab w:val="left" w:pos="630"/>
              </w:tabs>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default" w:ascii="Times New Roman" w:hAnsi="Times New Roman" w:eastAsia="宋体" w:cs="Times New Roman"/>
                <w:b/>
                <w:color w:val="000000" w:themeColor="text1"/>
                <w:sz w:val="24"/>
                <w:lang w:val="en-US" w:eastAsia="zh-CN"/>
                <w14:textFill>
                  <w14:solidFill>
                    <w14:schemeClr w14:val="tx1"/>
                  </w14:solidFill>
                </w14:textFill>
              </w:rPr>
              <w:t>16</w:t>
            </w:r>
            <w:r>
              <w:rPr>
                <w:rFonts w:hint="default" w:ascii="Times New Roman" w:hAnsi="Times New Roman" w:eastAsia="宋体" w:cs="Times New Roman"/>
                <w:b/>
                <w:color w:val="000000" w:themeColor="text1"/>
                <w:sz w:val="24"/>
                <w14:textFill>
                  <w14:solidFill>
                    <w14:schemeClr w14:val="tx1"/>
                  </w14:solidFill>
                </w14:textFill>
              </w:rPr>
              <w:t xml:space="preserve">   项目厂区划分及防渗等级一览表</w:t>
            </w:r>
          </w:p>
          <w:tbl>
            <w:tblPr>
              <w:tblStyle w:val="3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96"/>
              <w:gridCol w:w="2982"/>
              <w:gridCol w:w="41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668" w:type="pct"/>
                  <w:vAlign w:val="center"/>
                </w:tcPr>
                <w:p>
                  <w:pPr>
                    <w:pStyle w:val="73"/>
                    <w:spacing w:before="0" w:after="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防治分区</w:t>
                  </w:r>
                </w:p>
              </w:tc>
              <w:tc>
                <w:tcPr>
                  <w:tcW w:w="1818" w:type="pct"/>
                  <w:vAlign w:val="center"/>
                </w:tcPr>
                <w:p>
                  <w:pPr>
                    <w:pStyle w:val="73"/>
                    <w:spacing w:before="0" w:after="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工作区</w:t>
                  </w:r>
                </w:p>
              </w:tc>
              <w:tc>
                <w:tcPr>
                  <w:tcW w:w="2513" w:type="pct"/>
                  <w:vAlign w:val="center"/>
                </w:tcPr>
                <w:p>
                  <w:pPr>
                    <w:pStyle w:val="73"/>
                    <w:spacing w:before="0" w:after="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防渗技术要求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重点防渗区</w:t>
                  </w:r>
                </w:p>
              </w:tc>
              <w:tc>
                <w:tcPr>
                  <w:tcW w:w="1818" w:type="pct"/>
                  <w:vAlign w:val="center"/>
                </w:tcPr>
                <w:p>
                  <w:pPr>
                    <w:pStyle w:val="73"/>
                    <w:spacing w:before="0" w:after="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废水处理</w:t>
                  </w:r>
                  <w:r>
                    <w:rPr>
                      <w:rFonts w:hint="default" w:ascii="Times New Roman" w:hAnsi="Times New Roman" w:eastAsia="宋体" w:cs="Times New Roman"/>
                      <w:color w:val="000000" w:themeColor="text1"/>
                      <w:lang w:val="en-US" w:eastAsia="zh-CN"/>
                      <w14:textFill>
                        <w14:solidFill>
                          <w14:schemeClr w14:val="tx1"/>
                        </w14:solidFill>
                      </w14:textFill>
                    </w:rPr>
                    <w:t>区</w:t>
                  </w:r>
                </w:p>
              </w:tc>
              <w:tc>
                <w:tcPr>
                  <w:tcW w:w="2513"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防渗要求：等效黏土防渗层Mb≥1.5m，K≤1×10</w:t>
                  </w:r>
                  <w:r>
                    <w:rPr>
                      <w:rFonts w:hint="default" w:ascii="Times New Roman" w:hAnsi="Times New Roman" w:eastAsia="宋体" w:cs="Times New Roman"/>
                      <w:color w:val="000000" w:themeColor="text1"/>
                      <w:vertAlign w:val="superscript"/>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cm/s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Merge w:val="restar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w:t>
                  </w:r>
                </w:p>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防渗区</w:t>
                  </w:r>
                </w:p>
              </w:tc>
              <w:tc>
                <w:tcPr>
                  <w:tcW w:w="1818"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生产车间、仓库等</w:t>
                  </w:r>
                </w:p>
              </w:tc>
              <w:tc>
                <w:tcPr>
                  <w:tcW w:w="2513" w:type="pct"/>
                  <w:vMerge w:val="restar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一般防渗</w:t>
                  </w:r>
                  <w:r>
                    <w:rPr>
                      <w:rFonts w:hint="default"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Merge w:val="continue"/>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p>
              </w:tc>
              <w:tc>
                <w:tcPr>
                  <w:tcW w:w="1818"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一般工业固体废物暂存处</w:t>
                  </w:r>
                </w:p>
              </w:tc>
              <w:tc>
                <w:tcPr>
                  <w:tcW w:w="2513" w:type="pct"/>
                  <w:vMerge w:val="continue"/>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简单</w:t>
                  </w:r>
                </w:p>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防渗区</w:t>
                  </w:r>
                </w:p>
              </w:tc>
              <w:tc>
                <w:tcPr>
                  <w:tcW w:w="1818"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办公区、食堂等</w:t>
                  </w:r>
                </w:p>
              </w:tc>
              <w:tc>
                <w:tcPr>
                  <w:tcW w:w="2513" w:type="pct"/>
                  <w:vAlign w:val="center"/>
                </w:tcPr>
                <w:p>
                  <w:pPr>
                    <w:pStyle w:val="73"/>
                    <w:spacing w:before="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一般地面硬化</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其他防控要求：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alphabetic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、选用优质设备和管件，并加强日常管理和维修维护工作，防止和减少跑、冒、滴、漏现象的发生。</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b、对废水收集处理系统的收集池等构筑物采取防腐、防渗措施，防止渗水污染地下水。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c、在厂区内设置雨水、排水系统并做好相应的防渗措施。同时在厂区内严格管理，禁止进行分散的地面漫流冲洗。</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（3）跟踪监测要求</w:t>
            </w:r>
          </w:p>
          <w:p>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本项目对可能产生地下水和土壤影响的各项途径均进行有效预防，在确保各项防渗措施得以落实，并加强维护和</w:t>
            </w:r>
            <w:r>
              <w:rPr>
                <w:rFonts w:hint="default" w:ascii="Times New Roman" w:hAnsi="Times New Roman" w:eastAsia="宋体" w:cs="Times New Roman"/>
                <w:color w:val="000000" w:themeColor="text1"/>
                <w:sz w:val="24"/>
                <w14:textFill>
                  <w14:solidFill>
                    <w14:schemeClr w14:val="tx1"/>
                  </w14:solidFill>
                </w14:textFill>
              </w:rPr>
              <w:t>厂区</w:t>
            </w:r>
            <w:r>
              <w:rPr>
                <w:rFonts w:hint="default" w:ascii="Times New Roman" w:hAnsi="Times New Roman" w:eastAsia="宋体" w:cs="Times New Roman"/>
                <w:color w:val="000000" w:themeColor="text1"/>
                <w:kern w:val="0"/>
                <w:sz w:val="24"/>
                <w14:textFill>
                  <w14:solidFill>
                    <w14:schemeClr w14:val="tx1"/>
                  </w14:solidFill>
                </w14:textFill>
              </w:rPr>
              <w:t>环境管理的前提下，可有效控制项目产生的污染物下渗现象，避免污染地下水和土壤。根据HJ610-2016和HJ964-2018，本项目可不设置地下水和土壤跟踪监控点。</w:t>
            </w:r>
          </w:p>
          <w:p>
            <w:pPr>
              <w:pStyle w:val="31"/>
              <w:kinsoku/>
              <w:overflowPunct w:val="0"/>
              <w:topLinePunct/>
              <w:autoSpaceDN/>
              <w:spacing w:after="0" w:line="360" w:lineRule="auto"/>
              <w:ind w:left="0" w:leftChars="0" w:firstLine="0" w:firstLineChars="0"/>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6 、电磁辐射环境影响分析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对照《电磁环境控制限值》（GB 8702-2014）。本项目所用机电设备等效辐射功率均小于该标准表2限值，可免于电磁环境保护管理。因此，本评价不对电磁辐射环境影响进行分析。</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、环境风险影响分析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（1）环境风险识别</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根据《建设项目环境风险评价技术导则》（HJ169-2018），结合项目原辅材料、工程分析和工艺特点可知，本项目危险物质和风险源情况分析如下：</w:t>
            </w:r>
          </w:p>
          <w:p>
            <w:pPr>
              <w:tabs>
                <w:tab w:val="left" w:pos="420"/>
                <w:tab w:val="left" w:pos="630"/>
              </w:tabs>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表4-</w:t>
            </w:r>
            <w:r>
              <w:rPr>
                <w:rFonts w:hint="default" w:ascii="Times New Roman" w:hAnsi="Times New Roman" w:eastAsia="宋体" w:cs="Times New Roman"/>
                <w:b/>
                <w:color w:val="000000" w:themeColor="text1"/>
                <w:sz w:val="24"/>
                <w:lang w:val="en-US" w:eastAsia="zh-CN"/>
                <w14:textFill>
                  <w14:solidFill>
                    <w14:schemeClr w14:val="tx1"/>
                  </w14:solidFill>
                </w14:textFill>
              </w:rPr>
              <w:t>17</w:t>
            </w:r>
            <w:r>
              <w:rPr>
                <w:rFonts w:hint="default" w:ascii="Times New Roman" w:hAnsi="Times New Roman" w:eastAsia="宋体" w:cs="Times New Roman"/>
                <w:b/>
                <w:color w:val="000000" w:themeColor="text1"/>
                <w:sz w:val="24"/>
                <w14:textFill>
                  <w14:solidFill>
                    <w14:schemeClr w14:val="tx1"/>
                  </w14:solidFill>
                </w14:textFill>
              </w:rPr>
              <w:t xml:space="preserve">   项目危险物质和风险源分析一览表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7"/>
              <w:gridCol w:w="1697"/>
              <w:gridCol w:w="1654"/>
              <w:gridCol w:w="1147"/>
              <w:gridCol w:w="23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833"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项目</w:t>
                  </w:r>
                </w:p>
              </w:tc>
              <w:tc>
                <w:tcPr>
                  <w:tcW w:w="1034"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有毒有害物质</w:t>
                  </w:r>
                </w:p>
              </w:tc>
              <w:tc>
                <w:tcPr>
                  <w:tcW w:w="1008"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易燃易爆物质</w:t>
                  </w:r>
                </w:p>
              </w:tc>
              <w:tc>
                <w:tcPr>
                  <w:tcW w:w="699"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风险源</w:t>
                  </w:r>
                </w:p>
              </w:tc>
              <w:tc>
                <w:tcPr>
                  <w:tcW w:w="1426" w:type="pct"/>
                  <w:vAlign w:val="center"/>
                </w:tcPr>
                <w:p>
                  <w:pPr>
                    <w:adjustRightIn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可能影响途经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原辅材料</w:t>
                  </w:r>
                </w:p>
              </w:tc>
              <w:tc>
                <w:tcPr>
                  <w:tcW w:w="1034"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1008"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699"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1426" w:type="pct"/>
                  <w:vAlign w:val="center"/>
                </w:tcPr>
                <w:p>
                  <w:pPr>
                    <w:adjustRightIn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固体废物</w:t>
                  </w:r>
                </w:p>
              </w:tc>
              <w:tc>
                <w:tcPr>
                  <w:tcW w:w="1034"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1008"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699"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不涉及</w:t>
                  </w:r>
                </w:p>
              </w:tc>
              <w:tc>
                <w:tcPr>
                  <w:tcW w:w="1426" w:type="pct"/>
                  <w:vAlign w:val="center"/>
                </w:tcPr>
                <w:p>
                  <w:pPr>
                    <w:adjustRightIn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w:t>
                  </w:r>
                </w:p>
              </w:tc>
              <w:tc>
                <w:tcPr>
                  <w:tcW w:w="1034"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08"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699"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火灾事故</w:t>
                  </w:r>
                </w:p>
              </w:tc>
              <w:tc>
                <w:tcPr>
                  <w:tcW w:w="1426" w:type="pct"/>
                  <w:vAlign w:val="center"/>
                </w:tcPr>
                <w:p>
                  <w:pPr>
                    <w:adjustRightIn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燃烧废气对环境空气影响</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根据上表分析，本项目不涉及的危险物质，无急性毒性原料和易燃易爆物质，∑Q＜1，综合判定本项目环境风险综合潜势为Ⅰ。</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（2）环境风险防范措施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1）厂区火灾风险防范措施</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①</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企业的建筑设计严格执行国家的相关规范《建筑设计防火规范》（GB50016-2014（2018年修订））及其它相关规定。即总平面布置进行功能分区，分区内部和相互之间保持一定通道和间距；</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原辅材料</w:t>
            </w:r>
            <w:r>
              <w:rPr>
                <w:rFonts w:hint="default" w:ascii="Times New Roman" w:hAnsi="Times New Roman" w:eastAsia="宋体" w:cs="Times New Roman"/>
                <w:color w:val="000000" w:themeColor="text1"/>
                <w:kern w:val="0"/>
                <w:sz w:val="24"/>
                <w14:textFill>
                  <w14:solidFill>
                    <w14:schemeClr w14:val="tx1"/>
                  </w14:solidFill>
                </w14:textFill>
              </w:rPr>
              <w:t>贮存和使用设施的布置应保证生产人员安全操作及疏散方便；厂区围墙与厂内建筑的间距不小于5m，围墙两侧建筑物之间应满足防火间距要求；建、构筑物之间的防火间距符合《建筑设计防火规范》的有关规定。</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②</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根据火灾危险性等级和防火、防爆要求，建筑物的防火等级采用国家现行规范要求按一、二级耐火等级设计，满足建筑防火要求。</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③</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本项目使用防火、防爆电缆，电气设施进行了触电保护，爆炸危险区域的划分，防爆电器的安装和布防符合《爆炸和火灾环境电力装置设计规范（GB50058）》要求。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4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④</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安全生产是企业立厂之本，尽管本项目环境风险不大，但从保护环境、减少企业损失的角度考虑，企业仍要建立安全管理机构和管理制度，强化风险意识、加强安全教育，具体要求如下：</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A、设立安全科，负责全厂的安全运营，负责人应聘请具有多年安全实际经验的人才担当，并设置专职安全员；</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必须进行广泛系统的培训，操作工人必须经岗位培训考核合格，取得安全作业证，所有操作人员熟悉自己的岗位，树立严谨规范的操作作风，并且在任何紧急状况下都能随时对事故装置进行控制，并及时、独立、正确地实施相关应急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C、建立完善的安全生产管理制度，加强安全生产的宣传和教育，确保安全生产落实到生产中的每一个环节。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2）泄漏风险防范措施</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①</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按要求设置原辅材料仓库，生物质颗粒物储存应远离明火，做好防火通风设施，原材料分类存储；</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kern w:val="0"/>
                <w:sz w:val="24"/>
                <w14:textFill>
                  <w14:solidFill>
                    <w14:schemeClr w14:val="tx1"/>
                  </w14:solidFill>
                </w14:textFill>
              </w:rPr>
              <w:fldChar w:fldCharType="separate"/>
            </w:r>
            <w:r>
              <w:rPr>
                <w:rFonts w:hint="default" w:ascii="Times New Roman" w:hAnsi="Times New Roman" w:eastAsia="宋体" w:cs="Times New Roman"/>
                <w:color w:val="000000" w:themeColor="text1"/>
                <w:kern w:val="0"/>
                <w:sz w:val="24"/>
                <w14:textFill>
                  <w14:solidFill>
                    <w14:schemeClr w14:val="tx1"/>
                  </w14:solidFill>
                </w14:textFill>
              </w:rPr>
              <w:t>②</w:t>
            </w:r>
            <w:r>
              <w:rPr>
                <w:rFonts w:hint="default" w:ascii="Times New Roman" w:hAnsi="Times New Roman" w:eastAsia="宋体" w:cs="Times New Roman"/>
                <w:color w:val="000000" w:themeColor="text1"/>
                <w:kern w:val="0"/>
                <w:sz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严格按要求设置一般工业固体废物暂存处，做好标识。</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（3）环境风险评价结论</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在严格落实环评报告表中的风险防范措施，杜绝事故发生的前提下，该项目的环境风险处于可接受水平，制定的风险管理措施和应急预案有效可靠，从环境风险角度分析该项目建设可行。</w:t>
            </w:r>
          </w:p>
          <w:p>
            <w:pPr>
              <w:pStyle w:val="31"/>
              <w:kinsoku/>
              <w:overflowPunct w:val="0"/>
              <w:topLinePunct/>
              <w:autoSpaceDN/>
              <w:spacing w:after="0" w:line="360" w:lineRule="auto"/>
              <w:ind w:left="0" w:leftChars="0" w:firstLine="0" w:firstLineChars="0"/>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 xml:space="preserve">8、排污口规范化管理要求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排污口是各污染物进入环境、污染环境的通道，强化排污口的管理是实施污染物总量控制的基础工作，也是区域环境管理逐步实现污染物排放科学、定量化的重要手段。本项目各排污口应实行规范化设置与管理，具体管理原则如下：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a）排污口必须规范化设置，排污口应便于采样与计量监测，便于日常监督检查，应有观测、取样、维修通道； </w:t>
            </w:r>
          </w:p>
          <w:p>
            <w:pPr>
              <w:kinsoku/>
              <w:overflowPunct w:val="0"/>
              <w:topLinePunct/>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b）如实向生态环境管理部门申报排污口数量、位置及所排放的主要污染物种类、数量、浓度、排放去向等情况。 </w:t>
            </w:r>
          </w:p>
          <w:p>
            <w:pPr>
              <w:pStyle w:val="31"/>
              <w:kinsoku/>
              <w:overflowPunct w:val="0"/>
              <w:topLinePunct/>
              <w:autoSpaceDN/>
              <w:spacing w:after="0" w:line="360" w:lineRule="auto"/>
              <w:ind w:left="0" w:leftChars="0" w:firstLine="0" w:firstLineChars="0"/>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 xml:space="preserve">9、排污口立标管理要求 </w:t>
            </w:r>
          </w:p>
          <w:p>
            <w:pPr>
              <w:kinsoku/>
              <w:overflowPunct w:val="0"/>
              <w:topLinePunct/>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项目建设应根据国家《环境保护图形标志》（GB15562.1~2-1995）的规定，针对各污染物排放口及噪声排放源分别设置符合国家有关规范要求的环境保护图形标志牌，并应注意以下几点：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a）为了便于管理，必须对各排污口进行规范化建设；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b）废气排放口、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废水处理设施出水口、</w:t>
            </w:r>
            <w:r>
              <w:rPr>
                <w:rFonts w:hint="default" w:ascii="Times New Roman" w:hAnsi="Times New Roman" w:eastAsia="宋体" w:cs="Times New Roman"/>
                <w:color w:val="000000" w:themeColor="text1"/>
                <w:sz w:val="24"/>
                <w:szCs w:val="24"/>
                <w14:textFill>
                  <w14:solidFill>
                    <w14:schemeClr w14:val="tx1"/>
                  </w14:solidFill>
                </w14:textFill>
              </w:rPr>
              <w:t>固定噪声污染源、固体废物堆场应设置提示性环境保护图形标志牌；</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c）排污口的环保图形标志牌应设置在靠近采样点的醒目处，标志牌设置高度为其上边缘距离地面约2m；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d）环境保护图形标志以设置方形标志牌为主，亦可根据情况设置立面或平面固定式标志牌。 </w:t>
            </w:r>
          </w:p>
          <w:p>
            <w:pPr>
              <w:pStyle w:val="31"/>
              <w:kinsoku/>
              <w:overflowPunct w:val="0"/>
              <w:topLinePunct/>
              <w:autoSpaceDN/>
              <w:spacing w:after="0" w:line="360" w:lineRule="auto"/>
              <w:ind w:left="0" w:leftChars="0" w:firstLine="0" w:firstLineChars="0"/>
              <w:textAlignment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 xml:space="preserve">10、排污口建档管理 </w:t>
            </w:r>
          </w:p>
          <w:p>
            <w:pPr>
              <w:kinsoku/>
              <w:overflowPunct w:val="0"/>
              <w:topLinePunct/>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a）本项目应使用国家统一印制的《中华人民共和国规范化排污口标志登记证》，并按要求填写有关内容； </w:t>
            </w:r>
          </w:p>
          <w:p>
            <w:pPr>
              <w:kinsoku/>
              <w:overflowPunct w:val="0"/>
              <w:topLinePunct/>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b）根据排污口管理内容要求，项目建成</w:t>
            </w:r>
            <w:r>
              <w:rPr>
                <w:rFonts w:hint="eastAsia" w:cs="Times New Roman"/>
                <w:color w:val="000000" w:themeColor="text1"/>
                <w:sz w:val="24"/>
                <w:szCs w:val="24"/>
                <w:lang w:eastAsia="zh-CN"/>
                <w14:textFill>
                  <w14:solidFill>
                    <w14:schemeClr w14:val="tx1"/>
                  </w14:solidFill>
                </w14:textFill>
              </w:rPr>
              <w:t>运营</w:t>
            </w:r>
            <w:r>
              <w:rPr>
                <w:rFonts w:hint="default" w:ascii="Times New Roman" w:hAnsi="Times New Roman" w:eastAsia="宋体" w:cs="Times New Roman"/>
                <w:color w:val="000000" w:themeColor="text1"/>
                <w:sz w:val="24"/>
                <w:szCs w:val="24"/>
                <w14:textFill>
                  <w14:solidFill>
                    <w14:schemeClr w14:val="tx1"/>
                  </w14:solidFill>
                </w14:textFill>
              </w:rPr>
              <w:t>后，应将主要污染物种类、数量、浓度、排放去向、</w:t>
            </w:r>
            <w:r>
              <w:rPr>
                <w:rFonts w:hint="eastAsia" w:cs="Times New Roman"/>
                <w:color w:val="000000" w:themeColor="text1"/>
                <w:sz w:val="24"/>
                <w:szCs w:val="24"/>
                <w:lang w:eastAsia="zh-CN"/>
                <w14:textFill>
                  <w14:solidFill>
                    <w14:schemeClr w14:val="tx1"/>
                  </w14:solidFill>
                </w14:textFill>
              </w:rPr>
              <w:t>达标</w:t>
            </w:r>
            <w:r>
              <w:rPr>
                <w:rFonts w:hint="default" w:ascii="Times New Roman" w:hAnsi="Times New Roman" w:eastAsia="宋体" w:cs="Times New Roman"/>
                <w:color w:val="000000" w:themeColor="text1"/>
                <w:sz w:val="24"/>
                <w:szCs w:val="24"/>
                <w14:textFill>
                  <w14:solidFill>
                    <w14:schemeClr w14:val="tx1"/>
                  </w14:solidFill>
                </w14:textFill>
              </w:rPr>
              <w:t>情况及设施运行情况记录于档案。</w:t>
            </w:r>
          </w:p>
          <w:p>
            <w:pPr>
              <w:numPr>
                <w:ilvl w:val="0"/>
                <w:numId w:val="0"/>
              </w:num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14:textFill>
                  <w14:solidFill>
                    <w14:schemeClr w14:val="tx1"/>
                  </w14:solidFill>
                </w14:textFill>
              </w:rPr>
              <w:t>环保投资估算</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本项目环保投资见下表。</w:t>
            </w:r>
          </w:p>
          <w:p>
            <w:pPr>
              <w:pStyle w:val="115"/>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b/>
                <w:color w:val="000000" w:themeColor="text1"/>
                <w:sz w:val="24"/>
                <w:u w:val="none"/>
                <w14:textFill>
                  <w14:solidFill>
                    <w14:schemeClr w14:val="tx1"/>
                  </w14:solidFill>
                </w14:textFill>
              </w:rPr>
              <w:t>表4-</w:t>
            </w:r>
            <w:r>
              <w:rPr>
                <w:rFonts w:hint="default" w:ascii="Times New Roman" w:hAnsi="Times New Roman" w:eastAsia="宋体" w:cs="Times New Roman"/>
                <w:b/>
                <w:color w:val="000000" w:themeColor="text1"/>
                <w:sz w:val="24"/>
                <w:u w:val="none"/>
                <w:lang w:val="en-US" w:eastAsia="zh-CN"/>
                <w14:textFill>
                  <w14:solidFill>
                    <w14:schemeClr w14:val="tx1"/>
                  </w14:solidFill>
                </w14:textFill>
              </w:rPr>
              <w:t>18</w:t>
            </w:r>
            <w:r>
              <w:rPr>
                <w:rFonts w:hint="default" w:ascii="Times New Roman" w:hAnsi="Times New Roman" w:eastAsia="宋体" w:cs="Times New Roman"/>
                <w:b/>
                <w:color w:val="000000" w:themeColor="text1"/>
                <w:sz w:val="24"/>
                <w:u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u w:val="none"/>
                <w14:textFill>
                  <w14:solidFill>
                    <w14:schemeClr w14:val="tx1"/>
                  </w14:solidFill>
                </w14:textFill>
              </w:rPr>
              <w:t>污染治理投资估算</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5698"/>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项目</w:t>
                  </w:r>
                </w:p>
              </w:tc>
              <w:tc>
                <w:tcPr>
                  <w:tcW w:w="64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内容</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投资</w:t>
                  </w:r>
                  <w:r>
                    <w:rPr>
                      <w:rFonts w:hint="eastAsia" w:cs="Times New Roman"/>
                      <w:b/>
                      <w:bCs/>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u w:val="none"/>
                      <w14:textFill>
                        <w14:solidFill>
                          <w14:schemeClr w14:val="tx1"/>
                        </w14:solidFill>
                      </w14:textFill>
                    </w:rPr>
                    <w:t>万元</w:t>
                  </w:r>
                  <w:r>
                    <w:rPr>
                      <w:rFonts w:hint="eastAsia" w:cs="Times New Roman"/>
                      <w:b/>
                      <w:bCs/>
                      <w:color w:val="000000" w:themeColor="text1"/>
                      <w:sz w:val="21"/>
                      <w:szCs w:val="21"/>
                      <w:u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2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废气治理</w:t>
                  </w:r>
                </w:p>
              </w:tc>
              <w:tc>
                <w:tcPr>
                  <w:tcW w:w="649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旋风除尘+布袋除尘器一套、</w:t>
                  </w:r>
                  <w:r>
                    <w:rPr>
                      <w:rFonts w:hint="eastAsia" w:cs="Times New Roman"/>
                      <w:color w:val="000000" w:themeColor="text1"/>
                      <w:sz w:val="21"/>
                      <w:szCs w:val="21"/>
                      <w:u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m排气筒一根；车间内的排气风扇等。</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2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49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油烟净化器+楼顶排气筒</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废水治理</w:t>
                  </w:r>
                </w:p>
              </w:tc>
              <w:tc>
                <w:tcPr>
                  <w:tcW w:w="649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1个</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化粪池（</w:t>
                  </w:r>
                  <w:r>
                    <w:rPr>
                      <w:rFonts w:hint="eastAsia" w:cs="Times New Roman"/>
                      <w:color w:val="000000" w:themeColor="text1"/>
                      <w:sz w:val="21"/>
                      <w:szCs w:val="21"/>
                      <w:u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）、一座处理能力为</w:t>
                  </w:r>
                  <w:r>
                    <w:rPr>
                      <w:rFonts w:hint="eastAsia" w:cs="Times New Roman"/>
                      <w:color w:val="000000" w:themeColor="text1"/>
                      <w:sz w:val="21"/>
                      <w:szCs w:val="21"/>
                      <w:u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/d的地埋式一体化污水处理站</w:t>
                  </w:r>
                  <w:r>
                    <w:rPr>
                      <w:rFonts w:hint="eastAsia" w:cs="Times New Roman"/>
                      <w:color w:val="000000" w:themeColor="text1"/>
                      <w:sz w:val="21"/>
                      <w:szCs w:val="21"/>
                      <w:u w:val="none"/>
                      <w:lang w:val="en-US" w:eastAsia="zh-CN"/>
                      <w14:textFill>
                        <w14:solidFill>
                          <w14:schemeClr w14:val="tx1"/>
                        </w14:solidFill>
                      </w14:textFill>
                    </w:rPr>
                    <w:t>、水泵以及入河排污管网等</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噪声治理</w:t>
                  </w:r>
                </w:p>
              </w:tc>
              <w:tc>
                <w:tcPr>
                  <w:tcW w:w="64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隔声降噪减震措施</w:t>
                  </w:r>
                </w:p>
              </w:tc>
              <w:tc>
                <w:tcPr>
                  <w:tcW w:w="13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固废处置</w:t>
                  </w:r>
                </w:p>
              </w:tc>
              <w:tc>
                <w:tcPr>
                  <w:tcW w:w="64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垃圾箱</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和一般固废暂存间</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72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合    计</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68</w:t>
                  </w:r>
                </w:p>
              </w:tc>
            </w:tr>
          </w:tbl>
          <w:p>
            <w:pPr>
              <w:pStyle w:val="31"/>
              <w:ind w:firstLine="180"/>
              <w:rPr>
                <w:rFonts w:hint="default" w:ascii="Times New Roman" w:hAnsi="Times New Roman" w:eastAsia="宋体" w:cs="Times New Roman"/>
                <w:color w:val="000000" w:themeColor="text1"/>
                <w:u w:val="single"/>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p>
            <w:pPr>
              <w:pStyle w:val="42"/>
              <w:rPr>
                <w:rFonts w:hint="default" w:ascii="Times New Roman" w:hAnsi="Times New Roman" w:eastAsia="宋体" w:cs="Times New Roman"/>
                <w:color w:val="000000" w:themeColor="text1"/>
                <w14:textFill>
                  <w14:solidFill>
                    <w14:schemeClr w14:val="tx1"/>
                  </w14:solidFill>
                </w14:textFill>
              </w:rPr>
            </w:pPr>
          </w:p>
        </w:tc>
      </w:tr>
    </w:tbl>
    <w:p>
      <w:pPr>
        <w:adjustRightInd w:val="0"/>
        <w:snapToGrid w:val="0"/>
        <w:spacing w:line="360" w:lineRule="auto"/>
        <w:rPr>
          <w:rFonts w:hint="default" w:ascii="Times New Roman" w:hAnsi="Times New Roman" w:eastAsia="宋体" w:cs="Times New Roman"/>
          <w:b/>
          <w:color w:val="000000" w:themeColor="text1"/>
          <w:kern w:val="0"/>
          <w:sz w:val="28"/>
          <w:szCs w:val="28"/>
          <w14:textFill>
            <w14:solidFill>
              <w14:schemeClr w14:val="tx1"/>
            </w14:solidFill>
          </w14:textFill>
        </w:rPr>
        <w:sectPr>
          <w:pgSz w:w="11907" w:h="16840"/>
          <w:pgMar w:top="1440" w:right="1531" w:bottom="1440" w:left="1531" w:header="851" w:footer="850" w:gutter="0"/>
          <w:pgNumType w:fmt="numberInDash"/>
          <w:cols w:space="720" w:num="1"/>
          <w:docGrid w:linePitch="312" w:charSpace="0"/>
        </w:sectPr>
      </w:pPr>
    </w:p>
    <w:p>
      <w:pPr>
        <w:widowControl/>
        <w:spacing w:after="120"/>
        <w:ind w:left="1"/>
        <w:jc w:val="left"/>
        <w:outlineLvl w:val="0"/>
        <w:rPr>
          <w:rFonts w:hint="default" w:ascii="Times New Roman" w:hAnsi="Times New Roman" w:eastAsia="宋体" w:cs="Times New Roman"/>
          <w:b/>
          <w:color w:val="000000" w:themeColor="text1"/>
          <w:sz w:val="30"/>
          <w14:textFill>
            <w14:solidFill>
              <w14:schemeClr w14:val="tx1"/>
            </w14:solidFill>
          </w14:textFill>
        </w:rPr>
      </w:pPr>
      <w:bookmarkStart w:id="59" w:name="_Toc6100"/>
      <w:r>
        <w:rPr>
          <w:rFonts w:hint="default" w:ascii="Times New Roman" w:hAnsi="Times New Roman" w:eastAsia="宋体" w:cs="Times New Roman"/>
          <w:b/>
          <w:color w:val="000000" w:themeColor="text1"/>
          <w:sz w:val="30"/>
          <w14:textFill>
            <w14:solidFill>
              <w14:schemeClr w14:val="tx1"/>
            </w14:solidFill>
          </w14:textFill>
        </w:rPr>
        <w:t>五、</w:t>
      </w:r>
      <w:bookmarkStart w:id="60" w:name="_Hlk54167917"/>
      <w:r>
        <w:rPr>
          <w:rFonts w:hint="default" w:ascii="Times New Roman" w:hAnsi="Times New Roman" w:eastAsia="宋体" w:cs="Times New Roman"/>
          <w:b/>
          <w:color w:val="000000" w:themeColor="text1"/>
          <w:sz w:val="30"/>
          <w14:textFill>
            <w14:solidFill>
              <w14:schemeClr w14:val="tx1"/>
            </w14:solidFill>
          </w14:textFill>
        </w:rPr>
        <w:t>环境保护措施监督检查清单</w:t>
      </w:r>
      <w:bookmarkEnd w:id="59"/>
      <w:bookmarkEnd w:id="60"/>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3"/>
        <w:gridCol w:w="1485"/>
        <w:gridCol w:w="1125"/>
        <w:gridCol w:w="2145"/>
        <w:gridCol w:w="33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tcBorders>
              <w:bottom w:val="single" w:color="auto" w:sz="2" w:space="0"/>
              <w:tl2br w:val="single" w:color="auto" w:sz="4" w:space="0"/>
            </w:tcBorders>
          </w:tcPr>
          <w:p>
            <w:pPr>
              <w:adjustRightInd w:val="0"/>
              <w:snapToGrid w:val="0"/>
              <w:jc w:val="righ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内容</w:t>
            </w:r>
          </w:p>
          <w:p>
            <w:pPr>
              <w:adjustRightInd w:val="0"/>
              <w:snapToGrid w:val="0"/>
              <w:rPr>
                <w:rFonts w:hint="default" w:ascii="Times New Roman" w:hAnsi="Times New Roman" w:eastAsia="宋体" w:cs="Times New Roman"/>
                <w:b/>
                <w:bCs/>
                <w:color w:val="000000" w:themeColor="text1"/>
                <w:sz w:val="21"/>
                <w:szCs w:val="21"/>
                <w14:textFill>
                  <w14:solidFill>
                    <w14:schemeClr w14:val="tx1"/>
                  </w14:solidFill>
                </w14:textFill>
              </w:rPr>
            </w:pPr>
          </w:p>
          <w:p>
            <w:pPr>
              <w:adjustRightInd w:val="0"/>
              <w:snapToGrid w:val="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要素</w:t>
            </w:r>
          </w:p>
        </w:tc>
        <w:tc>
          <w:tcPr>
            <w:tcW w:w="1485" w:type="dxa"/>
            <w:tcBorders>
              <w:bottom w:val="single" w:color="auto" w:sz="2" w:space="0"/>
            </w:tcBorders>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编号、名称</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/污染源</w:t>
            </w:r>
          </w:p>
        </w:tc>
        <w:tc>
          <w:tcPr>
            <w:tcW w:w="1125" w:type="dxa"/>
            <w:tcBorders>
              <w:bottom w:val="single" w:color="auto" w:sz="2" w:space="0"/>
            </w:tcBorders>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污染物项目</w:t>
            </w:r>
          </w:p>
        </w:tc>
        <w:tc>
          <w:tcPr>
            <w:tcW w:w="2145" w:type="dxa"/>
            <w:tcBorders>
              <w:bottom w:val="single" w:color="auto" w:sz="2" w:space="0"/>
            </w:tcBorders>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环境保护措施</w:t>
            </w:r>
          </w:p>
        </w:tc>
        <w:tc>
          <w:tcPr>
            <w:tcW w:w="3352" w:type="dxa"/>
            <w:tcBorders>
              <w:bottom w:val="single" w:color="auto" w:sz="2" w:space="0"/>
            </w:tcBorders>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vMerge w:val="restart"/>
            <w:tcBorders>
              <w:top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1485"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燃料燃烧废气</w:t>
            </w: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1125"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val="en-GB"/>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GB"/>
                <w14:textFill>
                  <w14:solidFill>
                    <w14:schemeClr w14:val="tx1"/>
                  </w14:solidFill>
                </w14:textFill>
              </w:rPr>
              <w:t>x</w:t>
            </w:r>
            <w:r>
              <w:rPr>
                <w:rFonts w:hint="default" w:ascii="Times New Roman" w:hAnsi="Times New Roman" w:eastAsia="宋体" w:cs="Times New Roman"/>
                <w:color w:val="000000" w:themeColor="text1"/>
                <w:sz w:val="21"/>
                <w:szCs w:val="21"/>
                <w:lang w:val="en-GB"/>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GB"/>
                <w14:textFill>
                  <w14:solidFill>
                    <w14:schemeClr w14:val="tx1"/>
                  </w14:solidFill>
                </w14:textFill>
              </w:rPr>
              <w:t>2</w:t>
            </w:r>
            <w:r>
              <w:rPr>
                <w:rStyle w:val="40"/>
                <w:rFonts w:hint="default" w:ascii="Times New Roman" w:hAnsi="Times New Roman" w:eastAsia="宋体" w:cs="Times New Roman"/>
                <w:color w:val="000000" w:themeColor="text1"/>
                <w:kern w:val="0"/>
                <w:sz w:val="21"/>
                <w:szCs w:val="21"/>
                <w14:textFill>
                  <w14:solidFill>
                    <w14:schemeClr w14:val="tx1"/>
                  </w14:solidFill>
                </w14:textFill>
              </w:rPr>
              <w:t>、格林曼黑度</w:t>
            </w:r>
          </w:p>
        </w:tc>
        <w:tc>
          <w:tcPr>
            <w:tcW w:w="2145"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旋风除尘+布袋除尘</w:t>
            </w:r>
            <w:r>
              <w:rPr>
                <w:rFonts w:hint="eastAsia" w:cs="Times New Roman"/>
                <w:color w:val="000000" w:themeColor="text1"/>
                <w:sz w:val="21"/>
                <w:szCs w:val="21"/>
                <w:lang w:val="en-US" w:eastAsia="zh-CN"/>
                <w14:textFill>
                  <w14:solidFill>
                    <w14:schemeClr w14:val="tx1"/>
                  </w14:solidFill>
                </w14:textFill>
              </w:rPr>
              <w:t>+30m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排气筒排放</w:t>
            </w:r>
          </w:p>
        </w:tc>
        <w:tc>
          <w:tcPr>
            <w:tcW w:w="3352"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vMerge w:val="continue"/>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8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淀粉开包及</w:t>
            </w:r>
            <w:r>
              <w:rPr>
                <w:rFonts w:hint="default" w:ascii="Times New Roman" w:hAnsi="Times New Roman" w:eastAsia="宋体" w:cs="Times New Roman"/>
                <w:color w:val="000000" w:themeColor="text1"/>
                <w:kern w:val="0"/>
                <w:sz w:val="21"/>
                <w:szCs w:val="21"/>
                <w14:textFill>
                  <w14:solidFill>
                    <w14:schemeClr w14:val="tx1"/>
                  </w14:solidFill>
                </w14:textFill>
              </w:rPr>
              <w:t>投料</w:t>
            </w:r>
          </w:p>
        </w:tc>
        <w:tc>
          <w:tcPr>
            <w:tcW w:w="112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w:t>
            </w:r>
          </w:p>
        </w:tc>
        <w:tc>
          <w:tcPr>
            <w:tcW w:w="2145" w:type="dxa"/>
            <w:tcBorders>
              <w:top w:val="single" w:color="auto" w:sz="2" w:space="0"/>
              <w:bottom w:val="single" w:color="auto" w:sz="2" w:space="0"/>
            </w:tcBorders>
            <w:vAlign w:val="center"/>
          </w:tcPr>
          <w:p>
            <w:pPr>
              <w:pStyle w:val="2"/>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加强车间通风设施</w:t>
            </w:r>
            <w:r>
              <w:rPr>
                <w:rFonts w:hint="eastAsia" w:ascii="Times New Roman" w:cs="Times New Roman"/>
                <w:color w:val="000000" w:themeColor="text1"/>
                <w:sz w:val="21"/>
                <w:szCs w:val="21"/>
                <w:lang w:val="en-US" w:eastAsia="zh-CN"/>
                <w14:textFill>
                  <w14:solidFill>
                    <w14:schemeClr w14:val="tx1"/>
                  </w14:solidFill>
                </w14:textFill>
              </w:rPr>
              <w:t>和密闭搅拌等</w:t>
            </w:r>
          </w:p>
        </w:tc>
        <w:tc>
          <w:tcPr>
            <w:tcW w:w="3352" w:type="dxa"/>
            <w:tcBorders>
              <w:top w:val="single" w:color="auto" w:sz="2" w:space="0"/>
              <w:bottom w:val="single" w:color="auto" w:sz="2" w:space="0"/>
            </w:tcBorders>
            <w:vAlign w:val="center"/>
          </w:tcPr>
          <w:p>
            <w:pPr>
              <w:pStyle w:val="7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《大气污染物综合排放标准》（GB16297-1996）中表2的无组织排放标准浓度限值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vMerge w:val="continue"/>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8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污水处理系统</w:t>
            </w:r>
          </w:p>
        </w:tc>
        <w:tc>
          <w:tcPr>
            <w:tcW w:w="112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臭气浓度</w:t>
            </w:r>
          </w:p>
        </w:tc>
        <w:tc>
          <w:tcPr>
            <w:tcW w:w="2145" w:type="dxa"/>
            <w:tcBorders>
              <w:top w:val="single" w:color="auto" w:sz="2" w:space="0"/>
              <w:bottom w:val="single" w:color="auto" w:sz="2" w:space="0"/>
            </w:tcBorders>
            <w:vAlign w:val="center"/>
          </w:tcPr>
          <w:p>
            <w:pPr>
              <w:pStyle w:val="2"/>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污水处理设施为地埋式及</w:t>
            </w:r>
            <w:r>
              <w:rPr>
                <w:rFonts w:hint="default" w:ascii="Times New Roman" w:hAnsi="Times New Roman" w:eastAsia="宋体" w:cs="Times New Roman"/>
                <w:color w:val="000000" w:themeColor="text1"/>
                <w:sz w:val="21"/>
                <w:szCs w:val="21"/>
                <w14:textFill>
                  <w14:solidFill>
                    <w14:schemeClr w14:val="tx1"/>
                  </w14:solidFill>
                </w14:textFill>
              </w:rPr>
              <w:t>加强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w:t>
            </w:r>
            <w:r>
              <w:rPr>
                <w:rFonts w:hint="default" w:ascii="Times New Roman" w:hAnsi="Times New Roman" w:eastAsia="宋体" w:cs="Times New Roman"/>
                <w:color w:val="000000" w:themeColor="text1"/>
                <w:sz w:val="21"/>
                <w:szCs w:val="21"/>
                <w14:textFill>
                  <w14:solidFill>
                    <w14:schemeClr w14:val="tx1"/>
                  </w14:solidFill>
                </w14:textFill>
              </w:rPr>
              <w:t>绿化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w:t>
            </w:r>
          </w:p>
        </w:tc>
        <w:tc>
          <w:tcPr>
            <w:tcW w:w="3352" w:type="dxa"/>
            <w:tcBorders>
              <w:top w:val="single" w:color="auto" w:sz="2" w:space="0"/>
              <w:bottom w:val="single" w:color="auto" w:sz="2" w:space="0"/>
            </w:tcBorders>
            <w:vAlign w:val="center"/>
          </w:tcPr>
          <w:p>
            <w:pPr>
              <w:pStyle w:val="7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《恶臭污染物排放标准》（GB14554-93）中的二级厂界标准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vMerge w:val="continue"/>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8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车间</w:t>
            </w:r>
          </w:p>
        </w:tc>
        <w:tc>
          <w:tcPr>
            <w:tcW w:w="1125" w:type="dxa"/>
            <w:tcBorders>
              <w:top w:val="single" w:color="auto" w:sz="2" w:space="0"/>
              <w:bottom w:val="single" w:color="auto" w:sz="2" w:space="0"/>
            </w:tcBorders>
            <w:vAlign w:val="center"/>
          </w:tcPr>
          <w:p>
            <w:pPr>
              <w:widowControl/>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异味</w:t>
            </w:r>
          </w:p>
        </w:tc>
        <w:tc>
          <w:tcPr>
            <w:tcW w:w="2145" w:type="dxa"/>
            <w:tcBorders>
              <w:top w:val="single" w:color="auto" w:sz="2" w:space="0"/>
              <w:bottom w:val="single" w:color="auto" w:sz="2" w:space="0"/>
            </w:tcBorders>
            <w:vAlign w:val="center"/>
          </w:tcPr>
          <w:p>
            <w:pPr>
              <w:pStyle w:val="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通风换气</w:t>
            </w:r>
          </w:p>
        </w:tc>
        <w:tc>
          <w:tcPr>
            <w:tcW w:w="3352" w:type="dxa"/>
            <w:tcBorders>
              <w:top w:val="single" w:color="auto" w:sz="2" w:space="0"/>
              <w:bottom w:val="single" w:color="auto" w:sz="2" w:space="0"/>
            </w:tcBorders>
            <w:vAlign w:val="center"/>
          </w:tcPr>
          <w:p>
            <w:pPr>
              <w:pStyle w:val="7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《恶臭污染物排放标准》（GB14554-93）中的二级厂界标准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vMerge w:val="continue"/>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85" w:type="dxa"/>
            <w:tcBorders>
              <w:top w:val="single" w:color="auto" w:sz="2" w:space="0"/>
              <w:bottom w:val="single" w:color="auto" w:sz="2" w:space="0"/>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食堂</w:t>
            </w:r>
          </w:p>
        </w:tc>
        <w:tc>
          <w:tcPr>
            <w:tcW w:w="1125" w:type="dxa"/>
            <w:tcBorders>
              <w:top w:val="single" w:color="auto" w:sz="2" w:space="0"/>
              <w:bottom w:val="single" w:color="auto" w:sz="2" w:space="0"/>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油烟</w:t>
            </w:r>
          </w:p>
        </w:tc>
        <w:tc>
          <w:tcPr>
            <w:tcW w:w="2145" w:type="dxa"/>
            <w:tcBorders>
              <w:top w:val="single" w:color="auto" w:sz="2" w:space="0"/>
              <w:bottom w:val="single" w:color="auto" w:sz="2" w:space="0"/>
            </w:tcBorders>
            <w:vAlign w:val="center"/>
          </w:tcPr>
          <w:p>
            <w:pPr>
              <w:pStyle w:val="2"/>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cs="Times New Roman"/>
                <w:snapToGrid w:val="0"/>
                <w:color w:val="000000" w:themeColor="text1"/>
                <w:kern w:val="0"/>
                <w:sz w:val="21"/>
                <w:szCs w:val="21"/>
                <w:lang w:val="en-US" w:eastAsia="zh-CN"/>
                <w14:textFill>
                  <w14:solidFill>
                    <w14:schemeClr w14:val="tx1"/>
                  </w14:solidFill>
                </w14:textFill>
              </w:rPr>
              <w:t>油烟净化器</w:t>
            </w:r>
          </w:p>
        </w:tc>
        <w:tc>
          <w:tcPr>
            <w:tcW w:w="3352" w:type="dxa"/>
            <w:tcBorders>
              <w:top w:val="single" w:color="auto" w:sz="2" w:space="0"/>
              <w:bottom w:val="single" w:color="auto" w:sz="2" w:space="0"/>
            </w:tcBorders>
            <w:vAlign w:val="center"/>
          </w:tcPr>
          <w:p>
            <w:pPr>
              <w:pStyle w:val="7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《饮食业油烟排放标准（试行）》（GB18483-2001</w:t>
            </w:r>
            <w:r>
              <w:rPr>
                <w:rFonts w:hint="eastAsia"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953" w:type="dxa"/>
            <w:tcBorders>
              <w:top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1485" w:type="dxa"/>
            <w:tcBorders>
              <w:top w:val="single" w:color="auto" w:sz="2" w:space="0"/>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和</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生产废水</w:t>
            </w:r>
          </w:p>
        </w:tc>
        <w:tc>
          <w:tcPr>
            <w:tcW w:w="1125" w:type="dxa"/>
            <w:tcBorders>
              <w:top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-N、SS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w:t>
            </w:r>
            <w:r>
              <w:rPr>
                <w:rFonts w:hint="default" w:ascii="Times New Roman" w:hAnsi="Times New Roman" w:eastAsia="宋体" w:cs="Times New Roman"/>
                <w:color w:val="000000" w:themeColor="text1"/>
                <w:sz w:val="21"/>
                <w:szCs w:val="21"/>
                <w14:textFill>
                  <w14:solidFill>
                    <w14:schemeClr w14:val="tx1"/>
                  </w14:solidFill>
                </w14:textFill>
              </w:rPr>
              <w:t xml:space="preserve"> </w:t>
            </w:r>
          </w:p>
        </w:tc>
        <w:tc>
          <w:tcPr>
            <w:tcW w:w="2145" w:type="dxa"/>
            <w:tcBorders>
              <w:top w:val="single" w:color="auto" w:sz="2" w:space="0"/>
            </w:tcBorders>
            <w:vAlign w:val="center"/>
          </w:tcPr>
          <w:p>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化粪池15立方，</w:t>
            </w:r>
            <w:r>
              <w:rPr>
                <w:rFonts w:hint="default" w:ascii="Times New Roman" w:hAnsi="Times New Roman" w:eastAsia="宋体" w:cs="Times New Roman"/>
                <w:color w:val="000000" w:themeColor="text1"/>
                <w:sz w:val="21"/>
                <w:szCs w:val="21"/>
                <w14:textFill>
                  <w14:solidFill>
                    <w14:schemeClr w14:val="tx1"/>
                  </w14:solidFill>
                </w14:textFill>
              </w:rPr>
              <w:t>自建污水处理站的处理工艺：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格栅+调节+</w:t>
            </w:r>
            <w:r>
              <w:rPr>
                <w:rFonts w:hint="eastAsia" w:cs="Times New Roman"/>
                <w:color w:val="000000" w:themeColor="text1"/>
                <w:kern w:val="0"/>
                <w:sz w:val="2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厌氧+好氧+二次沉淀+清水池（消毒）+砂过滤</w:t>
            </w:r>
            <w:r>
              <w:rPr>
                <w:rFonts w:hint="default" w:ascii="Times New Roman" w:hAnsi="Times New Roman" w:eastAsia="宋体" w:cs="Times New Roman"/>
                <w:color w:val="000000" w:themeColor="text1"/>
                <w:sz w:val="21"/>
                <w:szCs w:val="21"/>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14:textFill>
                  <w14:solidFill>
                    <w14:schemeClr w14:val="tx1"/>
                  </w14:solidFill>
                </w14:textFill>
              </w:rPr>
              <w:t>t/d</w:t>
            </w:r>
          </w:p>
        </w:tc>
        <w:tc>
          <w:tcPr>
            <w:tcW w:w="3352" w:type="dxa"/>
            <w:tcBorders>
              <w:top w:val="single" w:color="auto" w:sz="2"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w:t>
            </w:r>
            <w:r>
              <w:rPr>
                <w:rFonts w:hint="eastAsia" w:cs="Times New Roman"/>
                <w:color w:val="000000" w:themeColor="text1"/>
                <w:sz w:val="21"/>
                <w:szCs w:val="21"/>
                <w:lang w:val="en-US" w:eastAsia="zh-CN"/>
                <w14:textFill>
                  <w14:solidFill>
                    <w14:schemeClr w14:val="tx1"/>
                  </w14:solidFill>
                </w14:textFill>
              </w:rPr>
              <w:t>表4一级标准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1485"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设备噪声</w:t>
            </w:r>
          </w:p>
        </w:tc>
        <w:tc>
          <w:tcPr>
            <w:tcW w:w="1125" w:type="dxa"/>
            <w:tcBorders>
              <w:top w:val="single" w:color="auto" w:sz="2" w:space="0"/>
              <w:bottom w:val="single" w:color="auto" w:sz="2" w:space="0"/>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2145" w:type="dxa"/>
            <w:tcBorders>
              <w:top w:val="single" w:color="auto" w:sz="2" w:space="0"/>
              <w:bottom w:val="single" w:color="auto" w:sz="2" w:space="0"/>
            </w:tcBorders>
            <w:vAlign w:val="center"/>
          </w:tcPr>
          <w:p>
            <w:pPr>
              <w:widowControl w:val="0"/>
              <w:kinsoku/>
              <w:overflowPunct w:val="0"/>
              <w:topLinePunct/>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选用低噪声设备、合理布局、厂房隔声、设备基础减震、消声等措施</w:t>
            </w:r>
          </w:p>
        </w:tc>
        <w:tc>
          <w:tcPr>
            <w:tcW w:w="3352" w:type="dxa"/>
            <w:tcBorders>
              <w:top w:val="single" w:color="auto" w:sz="2" w:space="0"/>
              <w:bottom w:val="single" w:color="auto" w:sz="2" w:space="0"/>
            </w:tcBorders>
            <w:vAlign w:val="center"/>
          </w:tcPr>
          <w:p>
            <w:pPr>
              <w:widowControl w:val="0"/>
              <w:kinsoku/>
              <w:overflowPunct w:val="0"/>
              <w:topLinePun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spacing w:val="8"/>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8"/>
                <w:sz w:val="21"/>
                <w:szCs w:val="21"/>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电磁辐射</w:t>
            </w:r>
          </w:p>
        </w:tc>
        <w:tc>
          <w:tcPr>
            <w:tcW w:w="1485"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25"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145"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352"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8107" w:type="dxa"/>
            <w:gridSpan w:val="4"/>
            <w:tcBorders>
              <w:top w:val="single" w:color="auto" w:sz="2" w:space="0"/>
              <w:bottom w:val="single" w:color="auto" w:sz="2" w:space="0"/>
            </w:tcBorders>
            <w:vAlign w:val="center"/>
          </w:tcPr>
          <w:p>
            <w:pPr>
              <w:pStyle w:val="26"/>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w:t>
            </w:r>
            <w:r>
              <w:rPr>
                <w:rFonts w:hint="default" w:ascii="Times New Roman" w:hAnsi="Times New Roman" w:eastAsia="宋体" w:cs="Times New Roman"/>
                <w:color w:val="000000" w:themeColor="text1"/>
                <w:sz w:val="21"/>
                <w:szCs w:val="21"/>
                <w:lang w:eastAsia="zh-CN"/>
                <w14:textFill>
                  <w14:solidFill>
                    <w14:schemeClr w14:val="tx1"/>
                  </w14:solidFill>
                </w14:textFill>
              </w:rPr>
              <w:t>一般固废暂存间和</w:t>
            </w:r>
            <w:r>
              <w:rPr>
                <w:rFonts w:hint="default" w:ascii="Times New Roman" w:hAnsi="Times New Roman" w:eastAsia="宋体" w:cs="Times New Roman"/>
                <w:color w:val="000000" w:themeColor="text1"/>
                <w:sz w:val="21"/>
                <w:szCs w:val="21"/>
                <w14:textFill>
                  <w14:solidFill>
                    <w14:schemeClr w14:val="tx1"/>
                  </w14:solidFill>
                </w14:textFill>
              </w:rPr>
              <w:t>垃圾箱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分类暂存及收集</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6"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土壤及地下水污染防治措施</w:t>
            </w:r>
          </w:p>
        </w:tc>
        <w:tc>
          <w:tcPr>
            <w:tcW w:w="8107" w:type="dxa"/>
            <w:gridSpan w:val="4"/>
            <w:tcBorders>
              <w:top w:val="single" w:color="auto" w:sz="2" w:space="0"/>
              <w:bottom w:val="single" w:color="auto" w:sz="2" w:space="0"/>
            </w:tcBorders>
            <w:vAlign w:val="center"/>
          </w:tcPr>
          <w:p>
            <w:pPr>
              <w:pStyle w:val="26"/>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地面全部硬化，且做好分区防渗措施。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生态保护措施</w:t>
            </w:r>
          </w:p>
        </w:tc>
        <w:tc>
          <w:tcPr>
            <w:tcW w:w="8107" w:type="dxa"/>
            <w:gridSpan w:val="4"/>
            <w:tcBorders>
              <w:top w:val="single" w:color="auto" w:sz="2" w:space="0"/>
              <w:bottom w:val="single" w:color="auto" w:sz="2" w:space="0"/>
            </w:tcBorders>
            <w:vAlign w:val="center"/>
          </w:tcPr>
          <w:p>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营运期增强对工作人员的环保意识教育，加强厂区绿化，通过种植树木和铺设草地，增加厂区绿化率，采取以上措施后，能大大改善厂区生态环境，营造员工生产环境。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953"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环境风险防范措施</w:t>
            </w:r>
          </w:p>
        </w:tc>
        <w:tc>
          <w:tcPr>
            <w:tcW w:w="8107" w:type="dxa"/>
            <w:gridSpan w:val="4"/>
            <w:tcBorders>
              <w:top w:val="single" w:color="auto" w:sz="2" w:space="0"/>
              <w:bottom w:val="single" w:color="auto" w:sz="2" w:space="0"/>
            </w:tcBorders>
            <w:vAlign w:val="center"/>
          </w:tcPr>
          <w:p>
            <w:pPr>
              <w:spacing w:line="36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建立操作规程和管理制度，加强设备巡视和检查；②设计、建设及运行过程中须加强风险防范措施的设计、管理及风险防范应急预案的建立。公司应通过严格执行风险管理制度，保证在风险、事故状态下，生产车间内人员得到安全、妥善的处置。确保项目对周围环境的风险降至</w:t>
            </w:r>
            <w:r>
              <w:rPr>
                <w:rFonts w:hint="eastAsia" w:cs="Times New Roman"/>
                <w:color w:val="000000" w:themeColor="text1"/>
                <w:sz w:val="21"/>
                <w:szCs w:val="21"/>
                <w:lang w:eastAsia="zh-CN"/>
                <w14:textFill>
                  <w14:solidFill>
                    <w14:schemeClr w14:val="tx1"/>
                  </w14:solidFill>
                </w14:textFill>
              </w:rPr>
              <w:t>最低程度</w:t>
            </w:r>
            <w:r>
              <w:rPr>
                <w:rFonts w:hint="default" w:ascii="Times New Roman" w:hAnsi="Times New Roman" w:eastAsia="宋体" w:cs="Times New Roman"/>
                <w:color w:val="000000" w:themeColor="text1"/>
                <w:sz w:val="21"/>
                <w:szCs w:val="21"/>
                <w14:textFill>
                  <w14:solidFill>
                    <w14:schemeClr w14:val="tx1"/>
                  </w14:solidFill>
                </w14:textFill>
              </w:rPr>
              <w:t>。③加强设备设施的日常维护保养，尤其是污染防治设施设备的日常维护保养，确保设备设施处于正常的工作状态，一旦发现问题，立即进行抢修或翻新。④安排专人负责全厂的安全管理，要专门设置专职或兼职安全员。⑤配备足够的灭火器、消防栓、堵漏材料、应急空储罐等应急物资。建立环境应急预案，并定期演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953" w:type="dxa"/>
            <w:tcBorders>
              <w:top w:val="single" w:color="auto" w:sz="2" w:space="0"/>
            </w:tcBorders>
            <w:vAlign w:val="center"/>
          </w:tcPr>
          <w:p>
            <w:pPr>
              <w:adjustRightInd w:val="0"/>
              <w:snapToGrid w:val="0"/>
              <w:spacing w:line="36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其他环境管理要求</w:t>
            </w:r>
          </w:p>
        </w:tc>
        <w:tc>
          <w:tcPr>
            <w:tcW w:w="8107" w:type="dxa"/>
            <w:gridSpan w:val="4"/>
            <w:tcBorders>
              <w:top w:val="single" w:color="auto" w:sz="2" w:space="0"/>
            </w:tcBorders>
            <w:vAlign w:val="center"/>
          </w:tcPr>
          <w:p>
            <w:pPr>
              <w:pStyle w:val="31"/>
              <w:widowControl w:val="0"/>
              <w:kinsoku/>
              <w:overflowPunct w:val="0"/>
              <w:topLinePunct/>
              <w:adjustRightInd/>
              <w:snapToGrid/>
              <w:spacing w:after="0" w:line="360" w:lineRule="auto"/>
              <w:ind w:firstLineChars="200"/>
              <w:jc w:val="both"/>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根据建设的环境保护要求，本项目建设过程应配套建设相应环保设施，项目环境保护措施竣工验收的主要内容和要求详见下表。</w:t>
            </w:r>
          </w:p>
          <w:p>
            <w:pPr>
              <w:pStyle w:val="31"/>
              <w:widowControl w:val="0"/>
              <w:kinsoku/>
              <w:overflowPunct w:val="0"/>
              <w:topLinePunct/>
              <w:adjustRightInd/>
              <w:snapToGrid/>
              <w:spacing w:after="0" w:line="360" w:lineRule="auto"/>
              <w:ind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表5-1   项目竣工环保验收一览表</w:t>
            </w:r>
          </w:p>
          <w:tbl>
            <w:tblPr>
              <w:tblStyle w:val="33"/>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1395"/>
              <w:gridCol w:w="2219"/>
              <w:gridCol w:w="277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58" w:type="dxa"/>
                  <w:gridSpan w:val="2"/>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治理对象</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竣工验收内容</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验收标准</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验收监</w:t>
                  </w:r>
                </w:p>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3" w:type="dxa"/>
                  <w:vMerge w:val="restart"/>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废气</w:t>
                  </w: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锅炉烟气</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烟气经过“旋风</w:t>
                  </w:r>
                  <w:r>
                    <w:rPr>
                      <w:rFonts w:hint="eastAsia" w:cs="Times New Roman"/>
                      <w:color w:val="000000" w:themeColor="text1"/>
                      <w:sz w:val="21"/>
                      <w:szCs w:val="21"/>
                      <w:u w:val="none" w:color="auto"/>
                      <w:lang w:val="en-US" w:eastAsia="zh-CN"/>
                      <w14:textFill>
                        <w14:solidFill>
                          <w14:schemeClr w14:val="tx1"/>
                        </w14:solidFill>
                      </w14:textFill>
                    </w:rPr>
                    <w:t>除尘+布袋除尘</w:t>
                  </w:r>
                  <w:r>
                    <w:rPr>
                      <w:rFonts w:hint="eastAsia" w:cs="Times New Roman"/>
                      <w:color w:val="000000" w:themeColor="text1"/>
                      <w:sz w:val="21"/>
                      <w:szCs w:val="21"/>
                      <w:u w:val="none" w:color="auto"/>
                      <w:lang w:eastAsia="zh-CN"/>
                      <w14:textFill>
                        <w14:solidFill>
                          <w14:schemeClr w14:val="tx1"/>
                        </w14:solidFill>
                      </w14:textFill>
                    </w:rPr>
                    <w:t>”处理后再经过</w:t>
                  </w:r>
                  <w:r>
                    <w:rPr>
                      <w:rFonts w:hint="eastAsia" w:cs="Times New Roman"/>
                      <w:color w:val="000000" w:themeColor="text1"/>
                      <w:sz w:val="21"/>
                      <w:szCs w:val="21"/>
                      <w:u w:val="none" w:color="auto"/>
                      <w:lang w:val="en-US" w:eastAsia="zh-CN"/>
                      <w14:textFill>
                        <w14:solidFill>
                          <w14:schemeClr w14:val="tx1"/>
                        </w14:solidFill>
                      </w14:textFill>
                    </w:rPr>
                    <w:t>30m高排气筒外排。</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14:textFill>
                        <w14:solidFill>
                          <w14:schemeClr w14:val="tx1"/>
                        </w14:solidFill>
                      </w14:textFill>
                    </w:rPr>
                    <w:t>《锅炉大气污染物排放标准》（GB13271-2014）表2中新建燃煤锅炉大气污染物排放浓度限值</w:t>
                  </w:r>
                  <w:r>
                    <w:rPr>
                      <w:rFonts w:hint="eastAsia" w:cs="Times New Roman"/>
                      <w:bCs/>
                      <w:color w:val="000000" w:themeColor="text1"/>
                      <w:sz w:val="21"/>
                      <w:szCs w:val="21"/>
                      <w:u w:val="none" w:color="auto"/>
                      <w:lang w:eastAsia="zh-CN"/>
                      <w14:textFill>
                        <w14:solidFill>
                          <w14:schemeClr w14:val="tx1"/>
                        </w14:solidFill>
                      </w14:textFill>
                    </w:rPr>
                    <w:t>。</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u w:val="none" w:color="auto"/>
                      <w14:textFill>
                        <w14:solidFill>
                          <w14:schemeClr w14:val="tx1"/>
                        </w14:solidFill>
                      </w14:textFill>
                    </w:rPr>
                    <w:t>、SO</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、NO</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eastAsia" w:cs="Times New Roman"/>
                      <w:color w:val="000000" w:themeColor="text1"/>
                      <w:sz w:val="21"/>
                      <w:szCs w:val="21"/>
                      <w:u w:val="none" w:color="auto"/>
                      <w:lang w:eastAsia="zh-CN"/>
                      <w14:textFill>
                        <w14:solidFill>
                          <w14:schemeClr w14:val="tx1"/>
                        </w14:solidFill>
                      </w14:textFill>
                    </w:rPr>
                    <w:t>林格曼黑度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厂界无组织粉尘</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eastAsia"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车间</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u w:val="none" w:color="auto"/>
                      <w14:textFill>
                        <w14:solidFill>
                          <w14:schemeClr w14:val="tx1"/>
                        </w14:solidFill>
                      </w14:textFill>
                    </w:rPr>
                    <w:t>换气扇，</w:t>
                  </w:r>
                  <w:r>
                    <w:rPr>
                      <w:rFonts w:hint="eastAsia" w:cs="Times New Roman"/>
                      <w:color w:val="000000" w:themeColor="text1"/>
                      <w:sz w:val="21"/>
                      <w:szCs w:val="21"/>
                      <w:u w:val="none" w:color="auto"/>
                      <w:lang w:eastAsia="zh-CN"/>
                      <w14:textFill>
                        <w14:solidFill>
                          <w14:schemeClr w14:val="tx1"/>
                        </w14:solidFill>
                      </w14:textFill>
                    </w:rPr>
                    <w:t>搅拌工序设置为密闭搅拌，</w:t>
                  </w:r>
                  <w:r>
                    <w:rPr>
                      <w:rFonts w:hint="default" w:ascii="Times New Roman" w:hAnsi="Times New Roman" w:eastAsia="宋体" w:cs="Times New Roman"/>
                      <w:color w:val="000000" w:themeColor="text1"/>
                      <w:sz w:val="21"/>
                      <w:szCs w:val="21"/>
                      <w:u w:val="none" w:color="auto"/>
                      <w14:textFill>
                        <w14:solidFill>
                          <w14:schemeClr w14:val="tx1"/>
                        </w14:solidFill>
                      </w14:textFill>
                    </w:rPr>
                    <w:t>加强车间通排风</w:t>
                  </w:r>
                  <w:r>
                    <w:rPr>
                      <w:rFonts w:hint="eastAsia" w:cs="Times New Roman"/>
                      <w:color w:val="000000" w:themeColor="text1"/>
                      <w:sz w:val="21"/>
                      <w:szCs w:val="21"/>
                      <w:u w:val="none" w:color="auto"/>
                      <w:lang w:eastAsia="zh-CN"/>
                      <w14:textFill>
                        <w14:solidFill>
                          <w14:schemeClr w14:val="tx1"/>
                        </w14:solidFill>
                      </w14:textFill>
                    </w:rPr>
                    <w:t>。</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《大气污染物综合排放标准》（GB16297-1996）表2中的无组织排放标准限值</w:t>
                  </w: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恶臭</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污水处理设施设置地埋式，且加强周边绿化设施等</w:t>
                  </w:r>
                  <w:r>
                    <w:rPr>
                      <w:rFonts w:hint="eastAsia" w:cs="Times New Roman"/>
                      <w:color w:val="000000" w:themeColor="text1"/>
                      <w:sz w:val="21"/>
                      <w:szCs w:val="21"/>
                      <w:u w:val="none" w:color="auto"/>
                      <w:lang w:eastAsia="zh-CN"/>
                      <w14:textFill>
                        <w14:solidFill>
                          <w14:schemeClr w14:val="tx1"/>
                        </w14:solidFill>
                      </w14:textFill>
                    </w:rPr>
                    <w:t>。</w:t>
                  </w:r>
                </w:p>
              </w:tc>
              <w:tc>
                <w:tcPr>
                  <w:tcW w:w="277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《恶臭污染物排放标准》（GB14554-93）表1相关标准</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臭气浓度、氨和硫化氢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食堂油烟</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油烟净化器</w:t>
                  </w:r>
                </w:p>
              </w:tc>
              <w:tc>
                <w:tcPr>
                  <w:tcW w:w="277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《饮食业油烟排放标准（试行）》（GB18483-2001</w:t>
                  </w:r>
                  <w:r>
                    <w:rPr>
                      <w:rFonts w:hint="eastAsia" w:cs="Times New Roman"/>
                      <w:color w:val="000000" w:themeColor="text1"/>
                      <w:sz w:val="21"/>
                      <w:szCs w:val="21"/>
                      <w:u w:val="none" w:color="auto"/>
                      <w:lang w:eastAsia="zh-CN"/>
                      <w14:textFill>
                        <w14:solidFill>
                          <w14:schemeClr w14:val="tx1"/>
                        </w14:solidFill>
                      </w14:textFill>
                    </w:rPr>
                    <w:t>）</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63"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废水</w:t>
                  </w: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综合废水</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1个</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化粪池（</w:t>
                  </w:r>
                  <w:r>
                    <w:rPr>
                      <w:rFonts w:hint="eastAsia" w:cs="Times New Roman"/>
                      <w:color w:val="000000" w:themeColor="text1"/>
                      <w:sz w:val="21"/>
                      <w:szCs w:val="21"/>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）、一座处理能力为</w:t>
                  </w:r>
                  <w:r>
                    <w:rPr>
                      <w:rFonts w:hint="eastAsia" w:cs="Times New Roman"/>
                      <w:color w:val="000000" w:themeColor="text1"/>
                      <w:sz w:val="21"/>
                      <w:szCs w:val="21"/>
                      <w:u w:val="none" w:color="auto"/>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/d的地埋式一体化污水处理站</w:t>
                  </w:r>
                  <w:r>
                    <w:rPr>
                      <w:rFonts w:hint="eastAsia" w:cs="Times New Roman"/>
                      <w:color w:val="000000" w:themeColor="text1"/>
                      <w:sz w:val="21"/>
                      <w:szCs w:val="21"/>
                      <w:u w:val="none"/>
                      <w:lang w:val="en-US" w:eastAsia="zh-CN"/>
                      <w14:textFill>
                        <w14:solidFill>
                          <w14:schemeClr w14:val="tx1"/>
                        </w14:solidFill>
                      </w14:textFill>
                    </w:rPr>
                    <w:t>、水泵以及入河排污管网等</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污水综合排放标准》（GB8978-1996）表4中一级标准。</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COD、BOD</w:t>
                  </w:r>
                  <w:r>
                    <w:rPr>
                      <w:rFonts w:hint="eastAsia"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、SS</w:t>
                  </w: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363"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噪声</w:t>
                  </w:r>
                </w:p>
              </w:tc>
              <w:tc>
                <w:tcPr>
                  <w:tcW w:w="1395"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设备噪声</w:t>
                  </w:r>
                </w:p>
              </w:tc>
              <w:tc>
                <w:tcPr>
                  <w:tcW w:w="221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采用隔声、降噪、</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基础减振降噪及</w:t>
                  </w:r>
                  <w:r>
                    <w:rPr>
                      <w:rFonts w:hint="default" w:ascii="Times New Roman" w:hAnsi="Times New Roman" w:eastAsia="宋体" w:cs="Times New Roman"/>
                      <w:color w:val="000000" w:themeColor="text1"/>
                      <w:sz w:val="21"/>
                      <w:szCs w:val="21"/>
                      <w:u w:val="none" w:color="auto"/>
                      <w14:textFill>
                        <w14:solidFill>
                          <w14:schemeClr w14:val="tx1"/>
                        </w14:solidFill>
                      </w14:textFill>
                    </w:rPr>
                    <w:t>场区绿化等措施</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厂界噪声达到《工业企业厂界环境噪声排放标准》中</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类区标准的要求</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3" w:type="dxa"/>
                  <w:vMerge w:val="restart"/>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固废</w:t>
                  </w:r>
                </w:p>
              </w:tc>
              <w:tc>
                <w:tcPr>
                  <w:tcW w:w="1395"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残次品</w:t>
                  </w:r>
                </w:p>
              </w:tc>
              <w:tc>
                <w:tcPr>
                  <w:tcW w:w="2219"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统一收集外售饲料厂</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t>合理利用</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污水站污泥</w:t>
                  </w:r>
                </w:p>
              </w:tc>
              <w:tc>
                <w:tcPr>
                  <w:tcW w:w="2219"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定期用作农肥</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综合利用</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废弃包装</w:t>
                  </w:r>
                  <w: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t>材料</w:t>
                  </w:r>
                </w:p>
              </w:tc>
              <w:tc>
                <w:tcPr>
                  <w:tcW w:w="2219"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出售至废品回收单位</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综合利用</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adjustRightInd w:val="0"/>
                    <w:snapToGrid w:val="0"/>
                    <w:spacing w:line="240" w:lineRule="auto"/>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锅炉灰渣</w:t>
                  </w:r>
                </w:p>
              </w:tc>
              <w:tc>
                <w:tcPr>
                  <w:tcW w:w="2219" w:type="dxa"/>
                  <w:vAlign w:val="center"/>
                </w:tcPr>
                <w:p>
                  <w:pPr>
                    <w:adjustRightInd w:val="0"/>
                    <w:snapToGrid w:val="0"/>
                    <w:spacing w:line="240" w:lineRule="auto"/>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用作农肥</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综合利用</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3" w:type="dxa"/>
                  <w:vMerge w:val="continue"/>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1395"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生活垃圾</w:t>
                  </w:r>
                </w:p>
              </w:tc>
              <w:tc>
                <w:tcPr>
                  <w:tcW w:w="2219" w:type="dxa"/>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交环卫部门处理</w:t>
                  </w:r>
                </w:p>
              </w:tc>
              <w:tc>
                <w:tcPr>
                  <w:tcW w:w="2779"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bCs/>
                      <w:color w:val="000000" w:themeColor="text1"/>
                      <w:sz w:val="21"/>
                      <w:szCs w:val="21"/>
                      <w:u w:val="none" w:color="auto"/>
                      <w14:textFill>
                        <w14:solidFill>
                          <w14:schemeClr w14:val="tx1"/>
                        </w14:solidFill>
                      </w14:textFill>
                    </w:rPr>
                    <w:t>妥善处理</w:t>
                  </w:r>
                </w:p>
              </w:tc>
              <w:tc>
                <w:tcPr>
                  <w:tcW w:w="967" w:type="dxa"/>
                  <w:vAlign w:val="center"/>
                </w:tcPr>
                <w:p>
                  <w:pPr>
                    <w:keepNext w:val="0"/>
                    <w:keepLines w:val="0"/>
                    <w:pageBreakBefore w:val="0"/>
                    <w:widowControl w:val="0"/>
                    <w:kinsoku/>
                    <w:wordWrap/>
                    <w:topLinePunct w:val="0"/>
                    <w:bidi w:val="0"/>
                    <w:adjustRightInd/>
                    <w:snapToGrid/>
                    <w:spacing w:line="240" w:lineRule="auto"/>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r>
          </w:tbl>
          <w:p>
            <w:pPr>
              <w:spacing w:line="360" w:lineRule="auto"/>
              <w:rPr>
                <w:rFonts w:hint="default" w:ascii="Times New Roman" w:hAnsi="Times New Roman" w:eastAsia="宋体" w:cs="Times New Roman"/>
                <w:bCs/>
                <w:color w:val="000000" w:themeColor="text1"/>
                <w:sz w:val="21"/>
                <w:szCs w:val="21"/>
                <w14:textFill>
                  <w14:solidFill>
                    <w14:schemeClr w14:val="tx1"/>
                  </w14:solidFill>
                </w14:textFill>
              </w:rPr>
            </w:pPr>
          </w:p>
        </w:tc>
      </w:tr>
    </w:tbl>
    <w:p>
      <w:pPr>
        <w:widowControl/>
        <w:spacing w:after="120"/>
        <w:ind w:left="1"/>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br w:type="page"/>
      </w:r>
      <w:bookmarkStart w:id="61" w:name="_Toc12095"/>
      <w:r>
        <w:rPr>
          <w:rFonts w:hint="default" w:ascii="Times New Roman" w:hAnsi="Times New Roman" w:eastAsia="宋体" w:cs="Times New Roman"/>
          <w:b/>
          <w:color w:val="000000" w:themeColor="text1"/>
          <w:sz w:val="30"/>
          <w14:textFill>
            <w14:solidFill>
              <w14:schemeClr w14:val="tx1"/>
            </w14:solidFill>
          </w14:textFill>
        </w:rPr>
        <w:t>六、结论</w:t>
      </w:r>
      <w:bookmarkEnd w:id="61"/>
    </w:p>
    <w:tbl>
      <w:tblPr>
        <w:tblStyle w:val="33"/>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1991" w:hRule="atLeast"/>
          <w:jc w:val="center"/>
        </w:trPr>
        <w:tc>
          <w:tcPr>
            <w:tcW w:w="9543" w:type="dxa"/>
            <w:vAlign w:val="center"/>
          </w:tcPr>
          <w:p>
            <w:pPr>
              <w:spacing w:line="360" w:lineRule="auto"/>
              <w:ind w:firstLine="600" w:firstLineChars="200"/>
              <w:rPr>
                <w:rFonts w:hint="default" w:ascii="Times New Roman" w:hAnsi="Times New Roman" w:eastAsia="宋体" w:cs="Times New Roman"/>
                <w:color w:val="000000" w:themeColor="text1"/>
                <w:sz w:val="28"/>
                <w:szCs w:val="28"/>
                <w:lang w:val="zh-CN"/>
                <w14:textFill>
                  <w14:solidFill>
                    <w14:schemeClr w14:val="tx1"/>
                  </w14:solidFill>
                </w14:textFill>
              </w:rPr>
            </w:pPr>
            <w:r>
              <w:rPr>
                <w:rFonts w:hint="default" w:ascii="Times New Roman" w:hAnsi="Times New Roman" w:eastAsia="宋体" w:cs="Times New Roman"/>
                <w:color w:val="000000" w:themeColor="text1"/>
                <w:spacing w:val="10"/>
                <w:sz w:val="28"/>
                <w:szCs w:val="28"/>
                <w14:textFill>
                  <w14:solidFill>
                    <w14:schemeClr w14:val="tx1"/>
                  </w14:solidFill>
                </w14:textFill>
              </w:rPr>
              <w:t>综上所述，本项目建设符合国家产业政策，选址</w:t>
            </w:r>
            <w:r>
              <w:rPr>
                <w:rFonts w:hint="eastAsia" w:cs="Times New Roman"/>
                <w:color w:val="000000" w:themeColor="text1"/>
                <w:spacing w:val="10"/>
                <w:sz w:val="28"/>
                <w:szCs w:val="28"/>
                <w:lang w:val="en-US" w:eastAsia="zh-CN"/>
                <w14:textFill>
                  <w14:solidFill>
                    <w14:schemeClr w14:val="tx1"/>
                  </w14:solidFill>
                </w14:textFill>
              </w:rPr>
              <w:t>基本</w:t>
            </w:r>
            <w:r>
              <w:rPr>
                <w:rFonts w:hint="default" w:ascii="Times New Roman" w:hAnsi="Times New Roman" w:eastAsia="宋体" w:cs="Times New Roman"/>
                <w:color w:val="000000" w:themeColor="text1"/>
                <w:spacing w:val="10"/>
                <w:sz w:val="28"/>
                <w:szCs w:val="28"/>
                <w14:textFill>
                  <w14:solidFill>
                    <w14:schemeClr w14:val="tx1"/>
                  </w14:solidFill>
                </w14:textFill>
              </w:rPr>
              <w:t>合理，总平面布置合理可行</w:t>
            </w:r>
            <w:r>
              <w:rPr>
                <w:rFonts w:hint="default" w:ascii="Times New Roman" w:hAnsi="Times New Roman" w:eastAsia="宋体" w:cs="Times New Roman"/>
                <w:color w:val="000000" w:themeColor="text1"/>
                <w:spacing w:val="7"/>
                <w:sz w:val="28"/>
                <w:szCs w:val="28"/>
                <w14:textFill>
                  <w14:solidFill>
                    <w14:schemeClr w14:val="tx1"/>
                  </w14:solidFill>
                </w14:textFill>
              </w:rPr>
              <w:t>，</w:t>
            </w:r>
            <w:r>
              <w:rPr>
                <w:rFonts w:hint="default" w:ascii="Times New Roman" w:hAnsi="Times New Roman" w:eastAsia="宋体" w:cs="Times New Roman"/>
                <w:color w:val="000000" w:themeColor="text1"/>
                <w:spacing w:val="10"/>
                <w:sz w:val="28"/>
                <w:szCs w:val="28"/>
                <w14:textFill>
                  <w14:solidFill>
                    <w14:schemeClr w14:val="tx1"/>
                  </w14:solidFill>
                </w14:textFill>
              </w:rPr>
              <w:t>运营后对周围的环境影响可控制在允许的范围内，周围环境质量能满足功能区划要</w:t>
            </w:r>
            <w:r>
              <w:rPr>
                <w:rFonts w:hint="default" w:ascii="Times New Roman" w:hAnsi="Times New Roman" w:eastAsia="宋体" w:cs="Times New Roman"/>
                <w:color w:val="000000" w:themeColor="text1"/>
                <w:spacing w:val="7"/>
                <w:sz w:val="28"/>
                <w:szCs w:val="28"/>
                <w14:textFill>
                  <w14:solidFill>
                    <w14:schemeClr w14:val="tx1"/>
                  </w14:solidFill>
                </w14:textFill>
              </w:rPr>
              <w:t>求。在全面落实各项污染防范措施，严格执行各种污染物排放标准，严格执行“三</w:t>
            </w:r>
            <w:r>
              <w:rPr>
                <w:rFonts w:hint="default" w:ascii="Times New Roman" w:hAnsi="Times New Roman" w:eastAsia="宋体" w:cs="Times New Roman"/>
                <w:color w:val="000000" w:themeColor="text1"/>
                <w:spacing w:val="6"/>
                <w:sz w:val="28"/>
                <w:szCs w:val="28"/>
                <w14:textFill>
                  <w14:solidFill>
                    <w14:schemeClr w14:val="tx1"/>
                  </w14:solidFill>
                </w14:textFill>
              </w:rPr>
              <w:t>同</w:t>
            </w:r>
            <w:r>
              <w:rPr>
                <w:rFonts w:hint="default" w:ascii="Times New Roman" w:hAnsi="Times New Roman" w:eastAsia="宋体" w:cs="Times New Roman"/>
                <w:color w:val="000000" w:themeColor="text1"/>
                <w:sz w:val="28"/>
                <w:szCs w:val="28"/>
                <w14:textFill>
                  <w14:solidFill>
                    <w14:schemeClr w14:val="tx1"/>
                  </w14:solidFill>
                </w14:textFill>
              </w:rPr>
              <w:t xml:space="preserve"> </w:t>
            </w:r>
            <w:r>
              <w:rPr>
                <w:rFonts w:hint="default" w:ascii="Times New Roman" w:hAnsi="Times New Roman" w:eastAsia="宋体" w:cs="Times New Roman"/>
                <w:color w:val="000000" w:themeColor="text1"/>
                <w:spacing w:val="7"/>
                <w:sz w:val="28"/>
                <w:szCs w:val="28"/>
                <w14:textFill>
                  <w14:solidFill>
                    <w14:schemeClr w14:val="tx1"/>
                  </w14:solidFill>
                </w14:textFill>
              </w:rPr>
              <w:t>时”制度下，确保废气达标排放</w:t>
            </w:r>
            <w:r>
              <w:rPr>
                <w:rFonts w:hint="eastAsia" w:cs="Times New Roman"/>
                <w:color w:val="000000" w:themeColor="text1"/>
                <w:spacing w:val="7"/>
                <w:sz w:val="28"/>
                <w:szCs w:val="28"/>
                <w:lang w:eastAsia="zh-CN"/>
                <w14:textFill>
                  <w14:solidFill>
                    <w14:schemeClr w14:val="tx1"/>
                  </w14:solidFill>
                </w14:textFill>
              </w:rPr>
              <w:t>、</w:t>
            </w:r>
            <w:r>
              <w:rPr>
                <w:rFonts w:hint="eastAsia" w:cs="Times New Roman"/>
                <w:color w:val="000000" w:themeColor="text1"/>
                <w:spacing w:val="7"/>
                <w:sz w:val="28"/>
                <w:szCs w:val="28"/>
                <w:lang w:val="en-US" w:eastAsia="zh-CN"/>
                <w14:textFill>
                  <w14:solidFill>
                    <w14:schemeClr w14:val="tx1"/>
                  </w14:solidFill>
                </w14:textFill>
              </w:rPr>
              <w:t>废水达标利用</w:t>
            </w:r>
            <w:r>
              <w:rPr>
                <w:rFonts w:hint="default" w:ascii="Times New Roman" w:hAnsi="Times New Roman" w:eastAsia="宋体" w:cs="Times New Roman"/>
                <w:color w:val="000000" w:themeColor="text1"/>
                <w:spacing w:val="7"/>
                <w:sz w:val="28"/>
                <w:szCs w:val="28"/>
                <w14:textFill>
                  <w14:solidFill>
                    <w14:schemeClr w14:val="tx1"/>
                  </w14:solidFill>
                </w14:textFill>
              </w:rPr>
              <w:t>、各类固体废物得到妥善处置、环境风险得</w:t>
            </w:r>
            <w:r>
              <w:rPr>
                <w:rFonts w:hint="default" w:ascii="Times New Roman" w:hAnsi="Times New Roman" w:eastAsia="宋体" w:cs="Times New Roman"/>
                <w:color w:val="000000" w:themeColor="text1"/>
                <w:spacing w:val="6"/>
                <w:sz w:val="28"/>
                <w:szCs w:val="28"/>
                <w14:textFill>
                  <w14:solidFill>
                    <w14:schemeClr w14:val="tx1"/>
                  </w14:solidFill>
                </w14:textFill>
              </w:rPr>
              <w:t>到</w:t>
            </w:r>
            <w:r>
              <w:rPr>
                <w:rFonts w:hint="default" w:ascii="Times New Roman" w:hAnsi="Times New Roman" w:eastAsia="宋体" w:cs="Times New Roman"/>
                <w:color w:val="000000" w:themeColor="text1"/>
                <w:spacing w:val="10"/>
                <w:sz w:val="28"/>
                <w:szCs w:val="28"/>
                <w14:textFill>
                  <w14:solidFill>
                    <w14:schemeClr w14:val="tx1"/>
                  </w14:solidFill>
                </w14:textFill>
              </w:rPr>
              <w:t>有效防范，并按相关要求编制突发环境事件应急预案，项目建设对环境不会产生</w:t>
            </w:r>
            <w:r>
              <w:rPr>
                <w:rFonts w:hint="default" w:ascii="Times New Roman" w:hAnsi="Times New Roman" w:eastAsia="宋体" w:cs="Times New Roman"/>
                <w:color w:val="000000" w:themeColor="text1"/>
                <w:spacing w:val="7"/>
                <w:sz w:val="28"/>
                <w:szCs w:val="28"/>
                <w14:textFill>
                  <w14:solidFill>
                    <w14:schemeClr w14:val="tx1"/>
                  </w14:solidFill>
                </w14:textFill>
              </w:rPr>
              <w:t>较</w:t>
            </w:r>
            <w:r>
              <w:rPr>
                <w:rFonts w:hint="default" w:ascii="Times New Roman" w:hAnsi="Times New Roman" w:eastAsia="宋体" w:cs="Times New Roman"/>
                <w:color w:val="000000" w:themeColor="text1"/>
                <w:spacing w:val="15"/>
                <w:sz w:val="28"/>
                <w:szCs w:val="28"/>
                <w14:textFill>
                  <w14:solidFill>
                    <w14:schemeClr w14:val="tx1"/>
                  </w14:solidFill>
                </w14:textFill>
              </w:rPr>
              <w:t>大</w:t>
            </w:r>
            <w:r>
              <w:rPr>
                <w:rFonts w:hint="default" w:ascii="Times New Roman" w:hAnsi="Times New Roman" w:eastAsia="宋体" w:cs="Times New Roman"/>
                <w:color w:val="000000" w:themeColor="text1"/>
                <w:spacing w:val="9"/>
                <w:sz w:val="28"/>
                <w:szCs w:val="28"/>
                <w14:textFill>
                  <w14:solidFill>
                    <w14:schemeClr w14:val="tx1"/>
                  </w14:solidFill>
                </w14:textFill>
              </w:rPr>
              <w:t>影响。故从环境保护角度分析，本项目的建设是可行的。</w:t>
            </w:r>
          </w:p>
          <w:p>
            <w:pPr>
              <w:pStyle w:val="2"/>
              <w:rPr>
                <w:rFonts w:hint="default" w:ascii="Times New Roman" w:hAnsi="Times New Roman" w:eastAsia="宋体" w:cs="Times New Roman"/>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p>
            <w:pPr>
              <w:pStyle w:val="32"/>
              <w:rPr>
                <w:rFonts w:hint="default" w:ascii="Times New Roman" w:hAnsi="Times New Roman" w:eastAsia="宋体" w:cs="Times New Roman"/>
                <w:b/>
                <w:color w:val="000000" w:themeColor="text1"/>
                <w14:textFill>
                  <w14:solidFill>
                    <w14:schemeClr w14:val="tx1"/>
                  </w14:solidFill>
                </w14:textFill>
              </w:rPr>
            </w:pPr>
          </w:p>
        </w:tc>
      </w:tr>
    </w:tbl>
    <w:p>
      <w:pPr>
        <w:rPr>
          <w:rFonts w:hint="default" w:ascii="Times New Roman" w:hAnsi="Times New Roman" w:eastAsia="宋体" w:cs="Times New Roman"/>
          <w:color w:val="000000" w:themeColor="text1"/>
          <w14:textFill>
            <w14:solidFill>
              <w14:schemeClr w14:val="tx1"/>
            </w14:solidFill>
          </w14:textFill>
        </w:rPr>
        <w:sectPr>
          <w:pgSz w:w="11906" w:h="16838"/>
          <w:pgMar w:top="1417" w:right="1531" w:bottom="1417" w:left="1531" w:header="851" w:footer="850" w:gutter="0"/>
          <w:pgNumType w:fmt="numberInDash"/>
          <w:cols w:space="720" w:num="1"/>
          <w:docGrid w:linePitch="312" w:charSpace="0"/>
        </w:sectPr>
      </w:pPr>
    </w:p>
    <w:p>
      <w:pPr>
        <w:widowControl/>
        <w:spacing w:line="340" w:lineRule="exact"/>
        <w:jc w:val="left"/>
        <w:outlineLvl w:val="0"/>
        <w:rPr>
          <w:rFonts w:hint="default" w:ascii="Times New Roman" w:hAnsi="Times New Roman" w:eastAsia="宋体" w:cs="Times New Roman"/>
          <w:b/>
          <w:color w:val="000000" w:themeColor="text1"/>
          <w:sz w:val="30"/>
          <w14:textFill>
            <w14:solidFill>
              <w14:schemeClr w14:val="tx1"/>
            </w14:solidFill>
          </w14:textFill>
        </w:rPr>
      </w:pPr>
      <w:bookmarkStart w:id="62" w:name="_Toc31416"/>
      <w:r>
        <w:rPr>
          <w:rFonts w:hint="default" w:ascii="Times New Roman" w:hAnsi="Times New Roman" w:eastAsia="宋体" w:cs="Times New Roman"/>
          <w:b/>
          <w:color w:val="000000" w:themeColor="text1"/>
          <w:sz w:val="30"/>
          <w14:textFill>
            <w14:solidFill>
              <w14:schemeClr w14:val="tx1"/>
            </w14:solidFill>
          </w14:textFill>
        </w:rPr>
        <w:t>附表</w:t>
      </w:r>
      <w:bookmarkEnd w:id="62"/>
    </w:p>
    <w:p>
      <w:pPr>
        <w:pStyle w:val="28"/>
        <w:adjustRightInd w:val="0"/>
        <w:snapToGrid w:val="0"/>
        <w:spacing w:before="0" w:beforeAutospacing="0" w:after="0" w:afterAutospacing="0"/>
        <w:jc w:val="center"/>
        <w:outlineLvl w:val="0"/>
        <w:rPr>
          <w:rFonts w:hint="default" w:ascii="Times New Roman" w:hAnsi="Times New Roman" w:eastAsia="宋体" w:cs="Times New Roman"/>
          <w:snapToGrid w:val="0"/>
          <w:color w:val="000000" w:themeColor="text1"/>
          <w:sz w:val="36"/>
          <w:szCs w:val="38"/>
          <w14:textFill>
            <w14:solidFill>
              <w14:schemeClr w14:val="tx1"/>
            </w14:solidFill>
          </w14:textFill>
        </w:rPr>
      </w:pPr>
      <w:bookmarkStart w:id="63" w:name="_Toc5843"/>
      <w:r>
        <w:rPr>
          <w:rFonts w:hint="default" w:ascii="Times New Roman" w:hAnsi="Times New Roman" w:eastAsia="宋体" w:cs="Times New Roman"/>
          <w:snapToGrid w:val="0"/>
          <w:color w:val="000000" w:themeColor="text1"/>
          <w:sz w:val="36"/>
          <w:szCs w:val="38"/>
          <w14:textFill>
            <w14:solidFill>
              <w14:schemeClr w14:val="tx1"/>
            </w14:solidFill>
          </w14:textFill>
        </w:rPr>
        <w:t>建设项目污染物排放量汇总表</w:t>
      </w:r>
      <w:bookmarkEnd w:id="63"/>
    </w:p>
    <w:tbl>
      <w:tblPr>
        <w:tblStyle w:val="112"/>
        <w:tblW w:w="138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2009"/>
        <w:gridCol w:w="1703"/>
        <w:gridCol w:w="1278"/>
        <w:gridCol w:w="1703"/>
        <w:gridCol w:w="1562"/>
        <w:gridCol w:w="1764"/>
        <w:gridCol w:w="1664"/>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009" w:type="dxa"/>
            <w:tcBorders>
              <w:left w:val="single" w:color="000000" w:sz="6" w:space="0"/>
              <w:tl2br w:val="single" w:color="000000" w:sz="4"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项目</w:t>
            </w: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3"/>
                <w14:textFill>
                  <w14:solidFill>
                    <w14:schemeClr w14:val="tx1"/>
                  </w14:solidFill>
                </w14:textFill>
              </w:rPr>
              <w:t>分</w:t>
            </w:r>
            <w:r>
              <w:rPr>
                <w:rFonts w:hint="default" w:ascii="Times New Roman" w:hAnsi="Times New Roman" w:eastAsia="宋体" w:cs="Times New Roman"/>
                <w:b/>
                <w:bCs/>
                <w:color w:val="000000" w:themeColor="text1"/>
                <w:spacing w:val="-2"/>
                <w14:textFill>
                  <w14:solidFill>
                    <w14:schemeClr w14:val="tx1"/>
                  </w14:solidFill>
                </w14:textFill>
              </w:rPr>
              <w:t>类</w:t>
            </w:r>
          </w:p>
        </w:tc>
        <w:tc>
          <w:tcPr>
            <w:tcW w:w="2009"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3"/>
                <w14:textFill>
                  <w14:solidFill>
                    <w14:schemeClr w14:val="tx1"/>
                  </w14:solidFill>
                </w14:textFill>
              </w:rPr>
              <w:t>污</w:t>
            </w:r>
            <w:r>
              <w:rPr>
                <w:rFonts w:hint="default" w:ascii="Times New Roman" w:hAnsi="Times New Roman" w:eastAsia="宋体" w:cs="Times New Roman"/>
                <w:b/>
                <w:bCs/>
                <w:color w:val="000000" w:themeColor="text1"/>
                <w:spacing w:val="-2"/>
                <w14:textFill>
                  <w14:solidFill>
                    <w14:schemeClr w14:val="tx1"/>
                  </w14:solidFill>
                </w14:textFill>
              </w:rPr>
              <w:t>染物名称</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1"/>
                <w14:textFill>
                  <w14:solidFill>
                    <w14:schemeClr w14:val="tx1"/>
                  </w14:solidFill>
                </w14:textFill>
              </w:rPr>
              <w:t>现有工程</w:t>
            </w:r>
          </w:p>
          <w:p>
            <w:pPr>
              <w:kinsoku/>
              <w:wordWrap w:val="0"/>
              <w:topLinePunct/>
              <w:autoSpaceDN/>
              <w:adjustRightInd/>
              <w:snapToGrid/>
              <w:spacing w:line="360" w:lineRule="auto"/>
              <w:ind w:firstLine="3"/>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14:textFill>
                  <w14:solidFill>
                    <w14:schemeClr w14:val="tx1"/>
                  </w14:solidFill>
                </w14:textFill>
              </w:rPr>
              <w:t xml:space="preserve">排放量 </w:t>
            </w:r>
            <w:r>
              <w:rPr>
                <w:rFonts w:hint="eastAsia" w:cs="Times New Roman"/>
                <w:b/>
                <w:bCs/>
                <w:color w:val="000000" w:themeColor="text1"/>
                <w:spacing w:val="-2"/>
                <w:lang w:eastAsia="zh-CN"/>
                <w14:textFill>
                  <w14:solidFill>
                    <w14:schemeClr w14:val="tx1"/>
                  </w14:solidFill>
                </w14:textFill>
              </w:rPr>
              <w:t>（</w:t>
            </w:r>
            <w:r>
              <w:rPr>
                <w:rFonts w:hint="default" w:ascii="Times New Roman" w:hAnsi="Times New Roman" w:eastAsia="宋体" w:cs="Times New Roman"/>
                <w:b/>
                <w:bCs/>
                <w:color w:val="000000" w:themeColor="text1"/>
                <w:spacing w:val="-1"/>
                <w14:textFill>
                  <w14:solidFill>
                    <w14:schemeClr w14:val="tx1"/>
                  </w14:solidFill>
                </w14:textFill>
              </w:rPr>
              <w:t>固体废物</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4"/>
                <w14:textFill>
                  <w14:solidFill>
                    <w14:schemeClr w14:val="tx1"/>
                  </w14:solidFill>
                </w14:textFill>
              </w:rPr>
              <w:t>产生量</w:t>
            </w:r>
            <w:r>
              <w:rPr>
                <w:rFonts w:hint="eastAsia" w:cs="Times New Roman"/>
                <w:b/>
                <w:bCs/>
                <w:color w:val="000000" w:themeColor="text1"/>
                <w:spacing w:val="-4"/>
                <w:lang w:eastAsia="zh-CN"/>
                <w14:textFill>
                  <w14:solidFill>
                    <w14:schemeClr w14:val="tx1"/>
                  </w14:solidFill>
                </w14:textFill>
              </w:rPr>
              <w:t>）</w:t>
            </w:r>
            <w:r>
              <w:rPr>
                <w:rFonts w:hint="default" w:ascii="Times New Roman" w:hAnsi="Times New Roman" w:eastAsia="宋体" w:cs="Times New Roman"/>
                <w:b/>
                <w:bCs/>
                <w:color w:val="000000" w:themeColor="text1"/>
                <w:spacing w:val="-4"/>
                <w14:textFill>
                  <w14:solidFill>
                    <w14:schemeClr w14:val="tx1"/>
                  </w14:solidFill>
                </w14:textFill>
              </w:rPr>
              <w:t xml:space="preserve"> </w:t>
            </w:r>
            <w:r>
              <w:rPr>
                <w:rFonts w:hint="default" w:ascii="Times New Roman" w:hAnsi="Times New Roman" w:eastAsia="宋体" w:cs="Times New Roman"/>
                <w:b/>
                <w:bCs/>
                <w:color w:val="000000" w:themeColor="text1"/>
                <w:spacing w:val="-2"/>
                <w14:textFill>
                  <w14:solidFill>
                    <w14:schemeClr w14:val="tx1"/>
                  </w14:solidFill>
                </w14:textFill>
              </w:rPr>
              <w:t>① (t/a)</w:t>
            </w:r>
          </w:p>
        </w:tc>
        <w:tc>
          <w:tcPr>
            <w:tcW w:w="1278" w:type="dxa"/>
            <w:vAlign w:val="center"/>
          </w:tcPr>
          <w:p>
            <w:pPr>
              <w:kinsoku/>
              <w:wordWrap w:val="0"/>
              <w:topLinePunct/>
              <w:autoSpaceDN/>
              <w:adjustRightInd/>
              <w:snapToGrid/>
              <w:spacing w:line="360" w:lineRule="auto"/>
              <w:ind w:firstLine="100"/>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14:textFill>
                  <w14:solidFill>
                    <w14:schemeClr w14:val="tx1"/>
                  </w14:solidFill>
                </w14:textFill>
              </w:rPr>
              <w:t>现有工</w:t>
            </w:r>
            <w:r>
              <w:rPr>
                <w:rFonts w:hint="default" w:ascii="Times New Roman" w:hAnsi="Times New Roman" w:eastAsia="宋体" w:cs="Times New Roman"/>
                <w:b/>
                <w:bCs/>
                <w:color w:val="000000" w:themeColor="text1"/>
                <w:spacing w:val="-1"/>
                <w14:textFill>
                  <w14:solidFill>
                    <w14:schemeClr w14:val="tx1"/>
                  </w14:solidFill>
                </w14:textFill>
              </w:rPr>
              <w:t>程</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2"/>
                <w14:textFill>
                  <w14:solidFill>
                    <w14:schemeClr w14:val="tx1"/>
                  </w14:solidFill>
                </w14:textFill>
              </w:rPr>
              <w:t>许可排</w:t>
            </w:r>
            <w:r>
              <w:rPr>
                <w:rFonts w:hint="default" w:ascii="Times New Roman" w:hAnsi="Times New Roman" w:eastAsia="宋体" w:cs="Times New Roman"/>
                <w:b/>
                <w:bCs/>
                <w:color w:val="000000" w:themeColor="text1"/>
                <w:spacing w:val="-1"/>
                <w14:textFill>
                  <w14:solidFill>
                    <w14:schemeClr w14:val="tx1"/>
                  </w14:solidFill>
                </w14:textFill>
              </w:rPr>
              <w:t>放量</w:t>
            </w: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position w:val="1"/>
                <w14:textFill>
                  <w14:solidFill>
                    <w14:schemeClr w14:val="tx1"/>
                  </w14:solidFill>
                </w14:textFill>
              </w:rPr>
              <w:t>② (</w:t>
            </w:r>
            <w:r>
              <w:rPr>
                <w:rFonts w:hint="default" w:ascii="Times New Roman" w:hAnsi="Times New Roman" w:eastAsia="宋体" w:cs="Times New Roman"/>
                <w:b/>
                <w:bCs/>
                <w:color w:val="000000" w:themeColor="text1"/>
                <w:position w:val="1"/>
                <w14:textFill>
                  <w14:solidFill>
                    <w14:schemeClr w14:val="tx1"/>
                  </w14:solidFill>
                </w14:textFill>
              </w:rPr>
              <w:t>t</w:t>
            </w:r>
            <w:r>
              <w:rPr>
                <w:rFonts w:hint="default" w:ascii="Times New Roman" w:hAnsi="Times New Roman" w:eastAsia="宋体" w:cs="Times New Roman"/>
                <w:b/>
                <w:bCs/>
                <w:color w:val="000000" w:themeColor="text1"/>
                <w:spacing w:val="2"/>
                <w:position w:val="1"/>
                <w14:textFill>
                  <w14:solidFill>
                    <w14:schemeClr w14:val="tx1"/>
                  </w14:solidFill>
                </w14:textFill>
              </w:rPr>
              <w:t>/</w:t>
            </w:r>
            <w:r>
              <w:rPr>
                <w:rFonts w:hint="default" w:ascii="Times New Roman" w:hAnsi="Times New Roman" w:eastAsia="宋体" w:cs="Times New Roman"/>
                <w:b/>
                <w:bCs/>
                <w:color w:val="000000" w:themeColor="text1"/>
                <w:position w:val="1"/>
                <w14:textFill>
                  <w14:solidFill>
                    <w14:schemeClr w14:val="tx1"/>
                  </w14:solidFill>
                </w14:textFill>
              </w:rPr>
              <w:t>a</w:t>
            </w:r>
            <w:r>
              <w:rPr>
                <w:rFonts w:hint="default" w:ascii="Times New Roman" w:hAnsi="Times New Roman" w:eastAsia="宋体" w:cs="Times New Roman"/>
                <w:b/>
                <w:bCs/>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1"/>
                <w14:textFill>
                  <w14:solidFill>
                    <w14:schemeClr w14:val="tx1"/>
                  </w14:solidFill>
                </w14:textFill>
              </w:rPr>
              <w:t>在建</w:t>
            </w:r>
            <w:r>
              <w:rPr>
                <w:rFonts w:hint="default" w:ascii="Times New Roman" w:hAnsi="Times New Roman" w:eastAsia="宋体" w:cs="Times New Roman"/>
                <w:b/>
                <w:bCs/>
                <w:color w:val="000000" w:themeColor="text1"/>
                <w14:textFill>
                  <w14:solidFill>
                    <w14:schemeClr w14:val="tx1"/>
                  </w14:solidFill>
                </w14:textFill>
              </w:rPr>
              <w:t>工程</w:t>
            </w:r>
          </w:p>
          <w:p>
            <w:pPr>
              <w:kinsoku/>
              <w:wordWrap w:val="0"/>
              <w:topLinePunct/>
              <w:autoSpaceDN/>
              <w:adjustRightInd/>
              <w:snapToGrid/>
              <w:spacing w:line="360" w:lineRule="auto"/>
              <w:ind w:firstLine="3"/>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14:textFill>
                  <w14:solidFill>
                    <w14:schemeClr w14:val="tx1"/>
                  </w14:solidFill>
                </w14:textFill>
              </w:rPr>
              <w:t xml:space="preserve">排放量 </w:t>
            </w:r>
            <w:r>
              <w:rPr>
                <w:rFonts w:hint="eastAsia" w:cs="Times New Roman"/>
                <w:b/>
                <w:bCs/>
                <w:color w:val="000000" w:themeColor="text1"/>
                <w:spacing w:val="-2"/>
                <w:lang w:eastAsia="zh-CN"/>
                <w14:textFill>
                  <w14:solidFill>
                    <w14:schemeClr w14:val="tx1"/>
                  </w14:solidFill>
                </w14:textFill>
              </w:rPr>
              <w:t>（</w:t>
            </w:r>
            <w:r>
              <w:rPr>
                <w:rFonts w:hint="default" w:ascii="Times New Roman" w:hAnsi="Times New Roman" w:eastAsia="宋体" w:cs="Times New Roman"/>
                <w:b/>
                <w:bCs/>
                <w:color w:val="000000" w:themeColor="text1"/>
                <w:spacing w:val="-1"/>
                <w14:textFill>
                  <w14:solidFill>
                    <w14:schemeClr w14:val="tx1"/>
                  </w14:solidFill>
                </w14:textFill>
              </w:rPr>
              <w:t>固体废物</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4"/>
                <w14:textFill>
                  <w14:solidFill>
                    <w14:schemeClr w14:val="tx1"/>
                  </w14:solidFill>
                </w14:textFill>
              </w:rPr>
              <w:t>产生量</w:t>
            </w:r>
            <w:r>
              <w:rPr>
                <w:rFonts w:hint="eastAsia" w:cs="Times New Roman"/>
                <w:b/>
                <w:bCs/>
                <w:color w:val="000000" w:themeColor="text1"/>
                <w:spacing w:val="-4"/>
                <w:lang w:eastAsia="zh-CN"/>
                <w14:textFill>
                  <w14:solidFill>
                    <w14:schemeClr w14:val="tx1"/>
                  </w14:solidFill>
                </w14:textFill>
              </w:rPr>
              <w:t>）</w:t>
            </w:r>
            <w:r>
              <w:rPr>
                <w:rFonts w:hint="default" w:ascii="Times New Roman" w:hAnsi="Times New Roman" w:eastAsia="宋体" w:cs="Times New Roman"/>
                <w:b/>
                <w:bCs/>
                <w:color w:val="000000" w:themeColor="text1"/>
                <w:spacing w:val="-2"/>
                <w14:textFill>
                  <w14:solidFill>
                    <w14:schemeClr w14:val="tx1"/>
                  </w14:solidFill>
                </w14:textFill>
              </w:rPr>
              <w:t xml:space="preserve"> ③ (t/a)</w:t>
            </w:r>
          </w:p>
        </w:tc>
        <w:tc>
          <w:tcPr>
            <w:tcW w:w="1562"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14:textFill>
                  <w14:solidFill>
                    <w14:schemeClr w14:val="tx1"/>
                  </w14:solidFill>
                </w14:textFill>
              </w:rPr>
              <w:t>本</w:t>
            </w:r>
            <w:r>
              <w:rPr>
                <w:rFonts w:hint="default" w:ascii="Times New Roman" w:hAnsi="Times New Roman" w:eastAsia="宋体" w:cs="Times New Roman"/>
                <w:b/>
                <w:bCs/>
                <w:color w:val="000000" w:themeColor="text1"/>
                <w:spacing w:val="-1"/>
                <w14:textFill>
                  <w14:solidFill>
                    <w14:schemeClr w14:val="tx1"/>
                  </w14:solidFill>
                </w14:textFill>
              </w:rPr>
              <w:t>项目</w:t>
            </w: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排放</w:t>
            </w:r>
            <w:r>
              <w:rPr>
                <w:rFonts w:hint="default" w:ascii="Times New Roman" w:hAnsi="Times New Roman" w:eastAsia="宋体" w:cs="Times New Roman"/>
                <w:b/>
                <w:bCs/>
                <w:color w:val="000000" w:themeColor="text1"/>
                <w:spacing w:val="-4"/>
                <w14:textFill>
                  <w14:solidFill>
                    <w14:schemeClr w14:val="tx1"/>
                  </w14:solidFill>
                </w14:textFill>
              </w:rPr>
              <w:t>量</w:t>
            </w:r>
            <w:r>
              <w:rPr>
                <w:rFonts w:hint="eastAsia" w:cs="Times New Roman"/>
                <w:b/>
                <w:bCs/>
                <w:color w:val="000000" w:themeColor="text1"/>
                <w:spacing w:val="-4"/>
                <w:lang w:eastAsia="zh-CN"/>
                <w14:textFill>
                  <w14:solidFill>
                    <w14:schemeClr w14:val="tx1"/>
                  </w14:solidFill>
                </w14:textFill>
              </w:rPr>
              <w:t>（</w:t>
            </w:r>
            <w:r>
              <w:rPr>
                <w:rFonts w:hint="default" w:ascii="Times New Roman" w:hAnsi="Times New Roman" w:eastAsia="宋体" w:cs="Times New Roman"/>
                <w:b/>
                <w:bCs/>
                <w:color w:val="000000" w:themeColor="text1"/>
                <w:spacing w:val="-3"/>
                <w14:textFill>
                  <w14:solidFill>
                    <w14:schemeClr w14:val="tx1"/>
                  </w14:solidFill>
                </w14:textFill>
              </w:rPr>
              <w:t>固体废物</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7"/>
                <w14:textFill>
                  <w14:solidFill>
                    <w14:schemeClr w14:val="tx1"/>
                  </w14:solidFill>
                </w14:textFill>
              </w:rPr>
              <w:t>产</w:t>
            </w:r>
            <w:r>
              <w:rPr>
                <w:rFonts w:hint="default" w:ascii="Times New Roman" w:hAnsi="Times New Roman" w:eastAsia="宋体" w:cs="Times New Roman"/>
                <w:b/>
                <w:bCs/>
                <w:color w:val="000000" w:themeColor="text1"/>
                <w:spacing w:val="-6"/>
                <w14:textFill>
                  <w14:solidFill>
                    <w14:schemeClr w14:val="tx1"/>
                  </w14:solidFill>
                </w14:textFill>
              </w:rPr>
              <w:t>生量</w:t>
            </w:r>
            <w:r>
              <w:rPr>
                <w:rFonts w:hint="eastAsia" w:cs="Times New Roman"/>
                <w:b/>
                <w:bCs/>
                <w:color w:val="000000" w:themeColor="text1"/>
                <w:spacing w:val="-6"/>
                <w:lang w:eastAsia="zh-CN"/>
                <w14:textFill>
                  <w14:solidFill>
                    <w14:schemeClr w14:val="tx1"/>
                  </w14:solidFill>
                </w14:textFill>
              </w:rPr>
              <w:t>）</w:t>
            </w:r>
            <w:r>
              <w:rPr>
                <w:rFonts w:hint="default" w:ascii="Times New Roman" w:hAnsi="Times New Roman" w:eastAsia="宋体" w:cs="Times New Roman"/>
                <w:b/>
                <w:bCs/>
                <w:color w:val="000000" w:themeColor="text1"/>
                <w:spacing w:val="-6"/>
                <w14:textFill>
                  <w14:solidFill>
                    <w14:schemeClr w14:val="tx1"/>
                  </w14:solidFill>
                </w14:textFill>
              </w:rPr>
              <w:t xml:space="preserve"> ④ (t/a)</w:t>
            </w:r>
          </w:p>
        </w:tc>
        <w:tc>
          <w:tcPr>
            <w:tcW w:w="1764"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0"/>
                <w14:textFill>
                  <w14:solidFill>
                    <w14:schemeClr w14:val="tx1"/>
                  </w14:solidFill>
                </w14:textFill>
              </w:rPr>
              <w:t>以</w:t>
            </w:r>
            <w:r>
              <w:rPr>
                <w:rFonts w:hint="default" w:ascii="Times New Roman" w:hAnsi="Times New Roman" w:eastAsia="宋体" w:cs="Times New Roman"/>
                <w:b/>
                <w:bCs/>
                <w:color w:val="000000" w:themeColor="text1"/>
                <w:spacing w:val="-17"/>
                <w14:textFill>
                  <w14:solidFill>
                    <w14:schemeClr w14:val="tx1"/>
                  </w14:solidFill>
                </w14:textFill>
              </w:rPr>
              <w:t>新带老削减量</w:t>
            </w: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spacing w:val="-14"/>
                <w:lang w:eastAsia="zh-CN"/>
                <w14:textFill>
                  <w14:solidFill>
                    <w14:schemeClr w14:val="tx1"/>
                  </w14:solidFill>
                </w14:textFill>
              </w:rPr>
              <w:t>（</w:t>
            </w:r>
            <w:r>
              <w:rPr>
                <w:rFonts w:hint="default" w:ascii="Times New Roman" w:hAnsi="Times New Roman" w:eastAsia="宋体" w:cs="Times New Roman"/>
                <w:b/>
                <w:bCs/>
                <w:color w:val="000000" w:themeColor="text1"/>
                <w:spacing w:val="-9"/>
                <w14:textFill>
                  <w14:solidFill>
                    <w14:schemeClr w14:val="tx1"/>
                  </w14:solidFill>
                </w14:textFill>
              </w:rPr>
              <w:t>新建项目不填</w:t>
            </w:r>
            <w:r>
              <w:rPr>
                <w:rFonts w:hint="eastAsia" w:cs="Times New Roman"/>
                <w:b/>
                <w:bCs/>
                <w:color w:val="000000" w:themeColor="text1"/>
                <w:spacing w:val="-9"/>
                <w:lang w:eastAsia="zh-CN"/>
                <w14:textFill>
                  <w14:solidFill>
                    <w14:schemeClr w14:val="tx1"/>
                  </w14:solidFill>
                </w14:textFill>
              </w:rPr>
              <w:t>）</w:t>
            </w:r>
            <w:r>
              <w:rPr>
                <w:rFonts w:hint="default" w:ascii="Times New Roman" w:hAnsi="Times New Roman" w:eastAsia="宋体" w:cs="Times New Roman"/>
                <w:b/>
                <w:bCs/>
                <w:color w:val="000000" w:themeColor="text1"/>
                <w:spacing w:val="-9"/>
                <w14:textFill>
                  <w14:solidFill>
                    <w14:schemeClr w14:val="tx1"/>
                  </w14:solidFill>
                </w14:textFill>
              </w:rPr>
              <w:t xml:space="preserve"> ⑤</w:t>
            </w:r>
          </w:p>
          <w:p>
            <w:pPr>
              <w:kinsoku/>
              <w:wordWrap w:val="0"/>
              <w:topLinePunct/>
              <w:autoSpaceDN/>
              <w:adjustRightInd/>
              <w:snapToGrid/>
              <w:spacing w:line="360" w:lineRule="auto"/>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30"/>
                <w:position w:val="1"/>
                <w14:textFill>
                  <w14:solidFill>
                    <w14:schemeClr w14:val="tx1"/>
                  </w14:solidFill>
                </w14:textFill>
              </w:rPr>
              <w:t>(</w:t>
            </w:r>
            <w:r>
              <w:rPr>
                <w:rFonts w:hint="default" w:ascii="Times New Roman" w:hAnsi="Times New Roman" w:eastAsia="宋体" w:cs="Times New Roman"/>
                <w:b/>
                <w:bCs/>
                <w:color w:val="000000" w:themeColor="text1"/>
                <w:position w:val="1"/>
                <w14:textFill>
                  <w14:solidFill>
                    <w14:schemeClr w14:val="tx1"/>
                  </w14:solidFill>
                </w14:textFill>
              </w:rPr>
              <w:t>t</w:t>
            </w:r>
            <w:r>
              <w:rPr>
                <w:rFonts w:hint="default" w:ascii="Times New Roman" w:hAnsi="Times New Roman" w:eastAsia="宋体" w:cs="Times New Roman"/>
                <w:b/>
                <w:bCs/>
                <w:color w:val="000000" w:themeColor="text1"/>
                <w:spacing w:val="28"/>
                <w:position w:val="1"/>
                <w14:textFill>
                  <w14:solidFill>
                    <w14:schemeClr w14:val="tx1"/>
                  </w14:solidFill>
                </w14:textFill>
              </w:rPr>
              <w:t>/</w:t>
            </w:r>
            <w:r>
              <w:rPr>
                <w:rFonts w:hint="default" w:ascii="Times New Roman" w:hAnsi="Times New Roman" w:eastAsia="宋体" w:cs="Times New Roman"/>
                <w:b/>
                <w:bCs/>
                <w:color w:val="000000" w:themeColor="text1"/>
                <w:position w:val="1"/>
                <w14:textFill>
                  <w14:solidFill>
                    <w14:schemeClr w14:val="tx1"/>
                  </w14:solidFill>
                </w14:textFill>
              </w:rPr>
              <w:t>a</w:t>
            </w:r>
            <w:r>
              <w:rPr>
                <w:rFonts w:hint="default" w:ascii="Times New Roman" w:hAnsi="Times New Roman" w:eastAsia="宋体" w:cs="Times New Roman"/>
                <w:b/>
                <w:bCs/>
                <w:color w:val="000000" w:themeColor="text1"/>
                <w:spacing w:val="28"/>
                <w:position w:val="1"/>
                <w14:textFill>
                  <w14:solidFill>
                    <w14:schemeClr w14:val="tx1"/>
                  </w14:solidFill>
                </w14:textFill>
              </w:rPr>
              <w:t>)</w:t>
            </w:r>
          </w:p>
        </w:tc>
        <w:tc>
          <w:tcPr>
            <w:tcW w:w="1664" w:type="dxa"/>
            <w:vAlign w:val="center"/>
          </w:tcPr>
          <w:p>
            <w:pPr>
              <w:kinsoku/>
              <w:wordWrap w:val="0"/>
              <w:topLinePunct/>
              <w:autoSpaceDN/>
              <w:adjustRightInd/>
              <w:snapToGrid/>
              <w:spacing w:line="360" w:lineRule="auto"/>
              <w:ind w:firstLine="265"/>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3"/>
                <w14:textFill>
                  <w14:solidFill>
                    <w14:schemeClr w14:val="tx1"/>
                  </w14:solidFill>
                </w14:textFill>
              </w:rPr>
              <w:t>本项目建成后</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26"/>
                <w14:textFill>
                  <w14:solidFill>
                    <w14:schemeClr w14:val="tx1"/>
                  </w14:solidFill>
                </w14:textFill>
              </w:rPr>
              <w:t>全</w:t>
            </w:r>
            <w:r>
              <w:rPr>
                <w:rFonts w:hint="default" w:ascii="Times New Roman" w:hAnsi="Times New Roman" w:eastAsia="宋体" w:cs="Times New Roman"/>
                <w:b/>
                <w:bCs/>
                <w:color w:val="000000" w:themeColor="text1"/>
                <w:spacing w:val="-21"/>
                <w14:textFill>
                  <w14:solidFill>
                    <w14:schemeClr w14:val="tx1"/>
                  </w14:solidFill>
                </w14:textFill>
              </w:rPr>
              <w:t xml:space="preserve">厂排放量 </w:t>
            </w:r>
            <w:r>
              <w:rPr>
                <w:rFonts w:hint="eastAsia" w:cs="Times New Roman"/>
                <w:b/>
                <w:bCs/>
                <w:color w:val="000000" w:themeColor="text1"/>
                <w:spacing w:val="-21"/>
                <w:lang w:eastAsia="zh-CN"/>
                <w14:textFill>
                  <w14:solidFill>
                    <w14:schemeClr w14:val="tx1"/>
                  </w14:solidFill>
                </w14:textFill>
              </w:rPr>
              <w:t>（</w:t>
            </w:r>
            <w:r>
              <w:rPr>
                <w:rFonts w:hint="default" w:ascii="Times New Roman" w:hAnsi="Times New Roman" w:eastAsia="宋体" w:cs="Times New Roman"/>
                <w:b/>
                <w:bCs/>
                <w:color w:val="000000" w:themeColor="text1"/>
                <w:spacing w:val="-21"/>
                <w14:textFill>
                  <w14:solidFill>
                    <w14:schemeClr w14:val="tx1"/>
                  </w14:solidFill>
                </w14:textFill>
              </w:rPr>
              <w:t>固体废</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21"/>
                <w14:textFill>
                  <w14:solidFill>
                    <w14:schemeClr w14:val="tx1"/>
                  </w14:solidFill>
                </w14:textFill>
              </w:rPr>
              <w:t>物</w:t>
            </w:r>
            <w:r>
              <w:rPr>
                <w:rFonts w:hint="default" w:ascii="Times New Roman" w:hAnsi="Times New Roman" w:eastAsia="宋体" w:cs="Times New Roman"/>
                <w:b/>
                <w:bCs/>
                <w:color w:val="000000" w:themeColor="text1"/>
                <w:spacing w:val="-13"/>
                <w14:textFill>
                  <w14:solidFill>
                    <w14:schemeClr w14:val="tx1"/>
                  </w14:solidFill>
                </w14:textFill>
              </w:rPr>
              <w:t>产生量</w:t>
            </w:r>
            <w:r>
              <w:rPr>
                <w:rFonts w:hint="eastAsia" w:cs="Times New Roman"/>
                <w:b/>
                <w:bCs/>
                <w:color w:val="000000" w:themeColor="text1"/>
                <w:spacing w:val="-13"/>
                <w:lang w:eastAsia="zh-CN"/>
                <w14:textFill>
                  <w14:solidFill>
                    <w14:schemeClr w14:val="tx1"/>
                  </w14:solidFill>
                </w14:textFill>
              </w:rPr>
              <w:t>）</w:t>
            </w:r>
            <w:r>
              <w:rPr>
                <w:rFonts w:hint="default" w:ascii="Times New Roman" w:hAnsi="Times New Roman" w:eastAsia="宋体" w:cs="Times New Roman"/>
                <w:b/>
                <w:bCs/>
                <w:color w:val="000000" w:themeColor="text1"/>
                <w:spacing w:val="-13"/>
                <w14:textFill>
                  <w14:solidFill>
                    <w14:schemeClr w14:val="tx1"/>
                  </w14:solidFill>
                </w14:textFill>
              </w:rPr>
              <w:t xml:space="preserve"> ⑥ (t/a)</w:t>
            </w:r>
          </w:p>
        </w:tc>
        <w:tc>
          <w:tcPr>
            <w:tcW w:w="1136" w:type="dxa"/>
            <w:tcBorders>
              <w:right w:val="single" w:color="000000" w:sz="6" w:space="0"/>
            </w:tcBorders>
            <w:vAlign w:val="center"/>
          </w:tcPr>
          <w:p>
            <w:pPr>
              <w:kinsoku/>
              <w:wordWrap w:val="0"/>
              <w:topLinePunct/>
              <w:autoSpaceDN/>
              <w:adjustRightInd/>
              <w:snapToGrid/>
              <w:spacing w:line="360" w:lineRule="auto"/>
              <w:ind w:firstLine="106"/>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4"/>
                <w14:textFill>
                  <w14:solidFill>
                    <w14:schemeClr w14:val="tx1"/>
                  </w14:solidFill>
                </w14:textFill>
              </w:rPr>
              <w:t>变</w:t>
            </w:r>
            <w:r>
              <w:rPr>
                <w:rFonts w:hint="default" w:ascii="Times New Roman" w:hAnsi="Times New Roman" w:eastAsia="宋体" w:cs="Times New Roman"/>
                <w:b/>
                <w:bCs/>
                <w:color w:val="000000" w:themeColor="text1"/>
                <w:spacing w:val="-2"/>
                <w14:textFill>
                  <w14:solidFill>
                    <w14:schemeClr w14:val="tx1"/>
                  </w14:solidFill>
                </w14:textFill>
              </w:rPr>
              <w:t>化量</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spacing w:val="-6"/>
                <w14:textFill>
                  <w14:solidFill>
                    <w14:schemeClr w14:val="tx1"/>
                  </w14:solidFill>
                </w14:textFill>
              </w:rPr>
              <w:t>⑦</w:t>
            </w:r>
            <w:r>
              <w:rPr>
                <w:rFonts w:hint="default" w:ascii="Times New Roman" w:hAnsi="Times New Roman" w:eastAsia="宋体" w:cs="Times New Roman"/>
                <w:b/>
                <w:bCs/>
                <w:color w:val="000000" w:themeColor="text1"/>
                <w:spacing w:val="-5"/>
                <w14:textFill>
                  <w14:solidFill>
                    <w14:schemeClr w14:val="tx1"/>
                  </w14:solidFill>
                </w14:textFill>
              </w:rPr>
              <w:t xml:space="preserve"> </w:t>
            </w:r>
            <w:r>
              <w:rPr>
                <w:rFonts w:hint="default" w:ascii="Times New Roman" w:hAnsi="Times New Roman" w:eastAsia="宋体" w:cs="Times New Roman"/>
                <w:b/>
                <w:bCs/>
                <w:color w:val="000000" w:themeColor="text1"/>
                <w:spacing w:val="-3"/>
                <w14:textFill>
                  <w14:solidFill>
                    <w14:schemeClr w14:val="tx1"/>
                  </w14:solidFill>
                </w14:textFill>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09" w:type="dxa"/>
            <w:vMerge w:val="restart"/>
            <w:tcBorders>
              <w:left w:val="single" w:color="000000" w:sz="6" w:space="0"/>
              <w:bottom w:val="nil"/>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5"/>
                <w14:textFill>
                  <w14:solidFill>
                    <w14:schemeClr w14:val="tx1"/>
                  </w14:solidFill>
                </w14:textFill>
              </w:rPr>
              <w:t>废气</w:t>
            </w:r>
          </w:p>
        </w:tc>
        <w:tc>
          <w:tcPr>
            <w:tcW w:w="2009" w:type="dxa"/>
            <w:vAlign w:val="center"/>
          </w:tcPr>
          <w:p>
            <w:pPr>
              <w:pStyle w:val="2"/>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153</w:t>
            </w:r>
          </w:p>
        </w:tc>
        <w:tc>
          <w:tcPr>
            <w:tcW w:w="1764"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153</w:t>
            </w:r>
          </w:p>
        </w:tc>
        <w:tc>
          <w:tcPr>
            <w:tcW w:w="1136" w:type="dxa"/>
            <w:tcBorders>
              <w:right w:val="single" w:color="000000"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5"/>
                <w14:textFill>
                  <w14:solidFill>
                    <w14:schemeClr w14:val="tx1"/>
                  </w14:solidFill>
                </w14:textFill>
              </w:rPr>
            </w:pPr>
          </w:p>
        </w:tc>
        <w:tc>
          <w:tcPr>
            <w:tcW w:w="2009" w:type="dxa"/>
            <w:vAlign w:val="center"/>
          </w:tcPr>
          <w:p>
            <w:pPr>
              <w:pStyle w:val="2"/>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368</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368</w:t>
            </w:r>
          </w:p>
        </w:tc>
        <w:tc>
          <w:tcPr>
            <w:tcW w:w="1136" w:type="dxa"/>
            <w:tcBorders>
              <w:right w:val="single" w:color="000000"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5"/>
                <w14:textFill>
                  <w14:solidFill>
                    <w14:schemeClr w14:val="tx1"/>
                  </w14:solidFill>
                </w14:textFill>
              </w:rPr>
            </w:pPr>
          </w:p>
        </w:tc>
        <w:tc>
          <w:tcPr>
            <w:tcW w:w="2009" w:type="dxa"/>
            <w:vAlign w:val="center"/>
          </w:tcPr>
          <w:p>
            <w:pPr>
              <w:pStyle w:val="2"/>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1"/>
                <w14:textFill>
                  <w14:solidFill>
                    <w14:schemeClr w14:val="tx1"/>
                  </w14:solidFill>
                </w14:textFill>
              </w:rPr>
            </w:pP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552</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552</w:t>
            </w:r>
          </w:p>
        </w:tc>
        <w:tc>
          <w:tcPr>
            <w:tcW w:w="1136" w:type="dxa"/>
            <w:tcBorders>
              <w:right w:val="single" w:color="000000"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009" w:type="dxa"/>
            <w:vMerge w:val="restart"/>
            <w:tcBorders>
              <w:left w:val="single" w:color="000000" w:sz="6" w:space="0"/>
              <w:bottom w:val="nil"/>
            </w:tcBorders>
            <w:vAlign w:val="center"/>
          </w:tcPr>
          <w:p>
            <w:pPr>
              <w:kinsoku/>
              <w:wordWrap w:val="0"/>
              <w:topLinePunct/>
              <w:autoSpaceDN/>
              <w:adjustRightInd/>
              <w:snapToGrid/>
              <w:spacing w:line="360" w:lineRule="auto"/>
              <w:ind w:hanging="32"/>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spacing w:val="7"/>
                <w:lang w:val="en-US" w:eastAsia="zh-CN"/>
                <w14:textFill>
                  <w14:solidFill>
                    <w14:schemeClr w14:val="tx1"/>
                  </w14:solidFill>
                </w14:textFill>
              </w:rPr>
              <w:t>废水</w:t>
            </w:r>
          </w:p>
        </w:tc>
        <w:tc>
          <w:tcPr>
            <w:tcW w:w="2009" w:type="dxa"/>
            <w:vAlign w:val="center"/>
          </w:tcPr>
          <w:p>
            <w:pPr>
              <w:autoSpaceDE w:val="0"/>
              <w:autoSpaceDN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COD</w:t>
            </w:r>
            <w:r>
              <w:rPr>
                <w:rFonts w:hint="default" w:ascii="Times New Roman" w:hAnsi="Times New Roman" w:eastAsia="宋体" w:cs="Times New Roman"/>
                <w:snapToGrid w:val="0"/>
                <w:color w:val="000000" w:themeColor="text1"/>
                <w:szCs w:val="21"/>
                <w:vertAlign w:val="subscript"/>
                <w14:textFill>
                  <w14:solidFill>
                    <w14:schemeClr w14:val="tx1"/>
                  </w14:solidFill>
                </w14:textFill>
              </w:rPr>
              <w:t>Cr</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1.518</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1.518</w:t>
            </w:r>
          </w:p>
        </w:tc>
        <w:tc>
          <w:tcPr>
            <w:tcW w:w="1136" w:type="dxa"/>
            <w:tcBorders>
              <w:righ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12"/>
                <w:kern w:val="2"/>
                <w:sz w:val="21"/>
                <w:szCs w:val="24"/>
                <w:lang w:val="en-US" w:eastAsia="zh-CN" w:bidi="ar-SA"/>
                <w14:textFill>
                  <w14:solidFill>
                    <w14:schemeClr w14:val="tx1"/>
                  </w14:solidFill>
                </w14:textFill>
              </w:rPr>
            </w:pPr>
            <w:r>
              <w:rPr>
                <w:rFonts w:hint="eastAsia" w:cs="Times New Roman"/>
                <w:color w:val="000000" w:themeColor="text1"/>
                <w:spacing w:val="2"/>
                <w:position w:val="1"/>
                <w:lang w:val="en-US" w:eastAsia="zh-CN"/>
                <w14:textFill>
                  <w14:solidFill>
                    <w14:schemeClr w14:val="tx1"/>
                  </w14:solidFill>
                </w14:textFill>
              </w:rPr>
              <w:t>+1.518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09" w:type="dxa"/>
            <w:vMerge w:val="continue"/>
            <w:tcBorders>
              <w:top w:val="nil"/>
              <w:left w:val="single" w:color="000000" w:sz="6" w:space="0"/>
              <w:bottom w:val="nil"/>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autoSpaceDE w:val="0"/>
              <w:autoSpaceDN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BOD</w:t>
            </w:r>
            <w:r>
              <w:rPr>
                <w:rFonts w:hint="default" w:ascii="Times New Roman" w:hAnsi="Times New Roman" w:eastAsia="宋体" w:cs="Times New Roman"/>
                <w:snapToGrid w:val="0"/>
                <w:color w:val="000000" w:themeColor="text1"/>
                <w:szCs w:val="21"/>
                <w:vertAlign w:val="subscript"/>
                <w14:textFill>
                  <w14:solidFill>
                    <w14:schemeClr w14:val="tx1"/>
                  </w14:solidFill>
                </w14:textFill>
              </w:rPr>
              <w:t>5</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0.086</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0.086</w:t>
            </w:r>
          </w:p>
        </w:tc>
        <w:tc>
          <w:tcPr>
            <w:tcW w:w="1136" w:type="dxa"/>
            <w:tcBorders>
              <w:righ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12"/>
                <w:kern w:val="2"/>
                <w:sz w:val="21"/>
                <w:szCs w:val="24"/>
                <w:lang w:val="en-US" w:eastAsia="zh-CN" w:bidi="ar-SA"/>
                <w14:textFill>
                  <w14:solidFill>
                    <w14:schemeClr w14:val="tx1"/>
                  </w14:solidFill>
                </w14:textFill>
              </w:rPr>
            </w:pPr>
            <w:r>
              <w:rPr>
                <w:rFonts w:hint="eastAsia" w:cs="Times New Roman"/>
                <w:color w:val="000000" w:themeColor="text1"/>
                <w:spacing w:val="2"/>
                <w:position w:val="1"/>
                <w:lang w:val="en-US" w:eastAsia="zh-CN"/>
                <w14:textFill>
                  <w14:solidFill>
                    <w14:schemeClr w14:val="tx1"/>
                  </w14:solidFill>
                </w14:textFill>
              </w:rPr>
              <w:t>+0.086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009" w:type="dxa"/>
            <w:vMerge w:val="continue"/>
            <w:tcBorders>
              <w:top w:val="nil"/>
              <w:left w:val="single" w:color="000000" w:sz="6" w:space="0"/>
              <w:bottom w:val="nil"/>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autoSpaceDE w:val="0"/>
              <w:autoSpaceDN w:val="0"/>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SS</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0.305</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0.305</w:t>
            </w:r>
          </w:p>
        </w:tc>
        <w:tc>
          <w:tcPr>
            <w:tcW w:w="1136" w:type="dxa"/>
            <w:tcBorders>
              <w:righ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12"/>
                <w:kern w:val="2"/>
                <w:sz w:val="21"/>
                <w:szCs w:val="24"/>
                <w:lang w:val="en-US" w:eastAsia="zh-CN" w:bidi="ar-SA"/>
                <w14:textFill>
                  <w14:solidFill>
                    <w14:schemeClr w14:val="tx1"/>
                  </w14:solidFill>
                </w14:textFill>
              </w:rPr>
            </w:pPr>
            <w:r>
              <w:rPr>
                <w:rFonts w:hint="eastAsia" w:cs="Times New Roman"/>
                <w:color w:val="000000" w:themeColor="text1"/>
                <w:spacing w:val="2"/>
                <w:position w:val="1"/>
                <w:lang w:val="en-US" w:eastAsia="zh-CN"/>
                <w14:textFill>
                  <w14:solidFill>
                    <w14:schemeClr w14:val="tx1"/>
                  </w14:solidFill>
                </w14:textFill>
              </w:rPr>
              <w:t>+0.305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09" w:type="dxa"/>
            <w:vMerge w:val="restart"/>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一</w:t>
            </w:r>
            <w:r>
              <w:rPr>
                <w:rFonts w:hint="default" w:ascii="Times New Roman" w:hAnsi="Times New Roman" w:eastAsia="宋体" w:cs="Times New Roman"/>
                <w:color w:val="000000" w:themeColor="text1"/>
                <w:spacing w:val="6"/>
                <w14:textFill>
                  <w14:solidFill>
                    <w14:schemeClr w14:val="tx1"/>
                  </w14:solidFill>
                </w14:textFill>
              </w:rPr>
              <w:t>般固废</w:t>
            </w:r>
          </w:p>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米渣</w:t>
            </w:r>
            <w:r>
              <w:rPr>
                <w:rFonts w:hint="default" w:ascii="Times New Roman" w:hAnsi="Times New Roman" w:eastAsia="宋体" w:cs="Times New Roman"/>
                <w:color w:val="000000" w:themeColor="text1"/>
                <w:szCs w:val="21"/>
                <w14:textFill>
                  <w14:solidFill>
                    <w14:schemeClr w14:val="tx1"/>
                  </w14:solidFill>
                </w14:textFill>
              </w:rPr>
              <w:t>、不合格品</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1"/>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5.1</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5.1</w:t>
            </w:r>
          </w:p>
        </w:tc>
        <w:tc>
          <w:tcPr>
            <w:tcW w:w="1136" w:type="dxa"/>
            <w:tcBorders>
              <w:right w:val="single" w:color="000000" w:sz="6" w:space="0"/>
            </w:tcBorders>
            <w:vAlign w:val="center"/>
          </w:tcPr>
          <w:p>
            <w:pPr>
              <w:kinsoku/>
              <w:wordWrap w:val="0"/>
              <w:topLinePunct/>
              <w:autoSpaceDN/>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tabs>
                <w:tab w:val="right" w:pos="7832"/>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污水处理站的污泥</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1136" w:type="dxa"/>
            <w:tcBorders>
              <w:right w:val="single" w:color="000000" w:sz="6" w:space="0"/>
            </w:tcBorders>
            <w:vAlign w:val="center"/>
          </w:tcPr>
          <w:p>
            <w:pPr>
              <w:kinsoku/>
              <w:wordWrap w:val="0"/>
              <w:topLinePunct/>
              <w:autoSpaceDN/>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废包装袋</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1136" w:type="dxa"/>
            <w:tcBorders>
              <w:right w:val="single" w:color="000000" w:sz="6" w:space="0"/>
            </w:tcBorders>
            <w:vAlign w:val="center"/>
          </w:tcPr>
          <w:p>
            <w:pPr>
              <w:kinsoku/>
              <w:wordWrap w:val="0"/>
              <w:topLinePunct/>
              <w:autoSpaceDN/>
              <w:jc w:val="center"/>
              <w:textAlignment w:val="center"/>
              <w:rPr>
                <w:rFonts w:hint="default" w:ascii="Times New Roman" w:hAnsi="Times New Roman" w:eastAsia="宋体" w:cs="Times New Roman"/>
                <w:color w:val="000000" w:themeColor="text1"/>
                <w:spacing w:val="-7"/>
                <w:kern w:val="2"/>
                <w:position w:val="2"/>
                <w:sz w:val="21"/>
                <w:szCs w:val="24"/>
                <w:lang w:val="en-US" w:eastAsia="zh-CN" w:bidi="ar-SA"/>
                <w14:textFill>
                  <w14:solidFill>
                    <w14:schemeClr w14:val="tx1"/>
                  </w14:solidFill>
                </w14:textFill>
              </w:rPr>
            </w:pPr>
            <w:r>
              <w:rPr>
                <w:rFonts w:hint="eastAsia" w:cs="Times New Roman"/>
                <w:color w:val="000000" w:themeColor="text1"/>
                <w:spacing w:val="-7"/>
                <w:position w:val="2"/>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灰渣</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562"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13.4</w:t>
            </w:r>
          </w:p>
        </w:tc>
        <w:tc>
          <w:tcPr>
            <w:tcW w:w="1764"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664"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13.4</w:t>
            </w:r>
          </w:p>
        </w:tc>
        <w:tc>
          <w:tcPr>
            <w:tcW w:w="1136" w:type="dxa"/>
            <w:tcBorders>
              <w:right w:val="single" w:color="000000" w:sz="6" w:space="0"/>
            </w:tcBorders>
            <w:vAlign w:val="center"/>
          </w:tcPr>
          <w:p>
            <w:pPr>
              <w:kinsoku/>
              <w:wordWrap w:val="0"/>
              <w:topLinePunct/>
              <w:autoSpaceDN/>
              <w:jc w:val="center"/>
              <w:textAlignment w:val="center"/>
              <w:rPr>
                <w:rFonts w:hint="eastAsia" w:ascii="Times New Roman" w:hAnsi="Times New Roman" w:eastAsia="宋体" w:cs="Times New Roman"/>
                <w:color w:val="000000" w:themeColor="text1"/>
                <w:spacing w:val="-7"/>
                <w:kern w:val="2"/>
                <w:position w:val="2"/>
                <w:sz w:val="21"/>
                <w:szCs w:val="24"/>
                <w:lang w:val="en-US" w:eastAsia="zh-CN" w:bidi="ar-SA"/>
                <w14:textFill>
                  <w14:solidFill>
                    <w14:schemeClr w14:val="tx1"/>
                  </w14:solidFill>
                </w14:textFill>
              </w:rPr>
            </w:pPr>
            <w:r>
              <w:rPr>
                <w:rFonts w:hint="eastAsia" w:cs="Times New Roman"/>
                <w:color w:val="000000" w:themeColor="text1"/>
                <w:spacing w:val="-7"/>
                <w:position w:val="2"/>
                <w:lang w:val="en-US" w:eastAsia="zh-CN"/>
                <w14:textFill>
                  <w14:solidFill>
                    <w14:schemeClr w14:val="tx1"/>
                  </w14:solidFill>
                </w14:textFill>
              </w:rPr>
              <w:t>+13.4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009" w:type="dxa"/>
            <w:vMerge w:val="continue"/>
            <w:tcBorders>
              <w:left w:val="single" w:color="000000" w:sz="6" w:space="0"/>
            </w:tcBorders>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009" w:type="dxa"/>
            <w:vAlign w:val="center"/>
          </w:tcPr>
          <w:p>
            <w:pPr>
              <w:tabs>
                <w:tab w:val="right" w:pos="7832"/>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278"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703"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562" w:type="dxa"/>
            <w:vAlign w:val="center"/>
          </w:tcPr>
          <w:p>
            <w:pPr>
              <w:kinsoku/>
              <w:wordWrap w:val="0"/>
              <w:topLinePunct/>
              <w:autoSpaceDN/>
              <w:jc w:val="center"/>
              <w:textAlignment w:val="center"/>
              <w:rPr>
                <w:rFonts w:hint="default" w:ascii="Times New Roman" w:hAnsi="Times New Roman" w:eastAsia="宋体" w:cs="Times New Roman"/>
                <w:color w:val="000000" w:themeColor="text1"/>
                <w:spacing w:val="-7"/>
                <w:position w:val="2"/>
                <w:lang w:val="en-US" w:eastAsia="zh-CN"/>
                <w14:textFill>
                  <w14:solidFill>
                    <w14:schemeClr w14:val="tx1"/>
                  </w14:solidFill>
                </w14:textFill>
              </w:rPr>
            </w:pPr>
            <w:r>
              <w:rPr>
                <w:rFonts w:hint="eastAsia" w:cs="Times New Roman"/>
                <w:color w:val="000000" w:themeColor="text1"/>
                <w:spacing w:val="-7"/>
                <w:position w:val="2"/>
                <w:lang w:val="en-US" w:eastAsia="zh-CN"/>
                <w14:textFill>
                  <w14:solidFill>
                    <w14:schemeClr w14:val="tx1"/>
                  </w14:solidFill>
                </w14:textFill>
              </w:rPr>
              <w:t>18</w:t>
            </w:r>
          </w:p>
        </w:tc>
        <w:tc>
          <w:tcPr>
            <w:tcW w:w="1764" w:type="dxa"/>
            <w:vAlign w:val="center"/>
          </w:tcPr>
          <w:p>
            <w:pPr>
              <w:kinsoku/>
              <w:wordWrap w:val="0"/>
              <w:topLinePunct/>
              <w:autoSpaceDN/>
              <w:adjustRightInd/>
              <w:snapToGrid/>
              <w:spacing w:line="360" w:lineRule="auto"/>
              <w:jc w:val="center"/>
              <w:textAlignment w:val="center"/>
              <w:rPr>
                <w:rFonts w:hint="default" w:ascii="Times New Roman" w:hAnsi="Times New Roman" w:eastAsia="宋体" w:cs="Times New Roman"/>
                <w:color w:val="000000" w:themeColor="text1"/>
                <w:spacing w:val="2"/>
                <w:position w:val="2"/>
                <w14:textFill>
                  <w14:solidFill>
                    <w14:schemeClr w14:val="tx1"/>
                  </w14:solidFill>
                </w14:textFill>
              </w:rPr>
            </w:pPr>
            <w:r>
              <w:rPr>
                <w:rFonts w:hint="default" w:ascii="Times New Roman" w:hAnsi="Times New Roman" w:eastAsia="宋体" w:cs="Times New Roman"/>
                <w:color w:val="000000" w:themeColor="text1"/>
                <w:spacing w:val="2"/>
                <w:position w:val="2"/>
                <w14:textFill>
                  <w14:solidFill>
                    <w14:schemeClr w14:val="tx1"/>
                  </w14:solidFill>
                </w14:textFill>
              </w:rPr>
              <w:t>/</w:t>
            </w:r>
          </w:p>
        </w:tc>
        <w:tc>
          <w:tcPr>
            <w:tcW w:w="1664" w:type="dxa"/>
            <w:vAlign w:val="center"/>
          </w:tcPr>
          <w:p>
            <w:pPr>
              <w:kinsoku/>
              <w:wordWrap w:val="0"/>
              <w:topLinePunct/>
              <w:autoSpaceDN/>
              <w:jc w:val="center"/>
              <w:textAlignment w:val="center"/>
              <w:rPr>
                <w:rFonts w:hint="default" w:ascii="Times New Roman" w:hAnsi="Times New Roman" w:eastAsia="宋体" w:cs="Times New Roman"/>
                <w:color w:val="000000" w:themeColor="text1"/>
                <w:spacing w:val="-7"/>
                <w:kern w:val="2"/>
                <w:position w:val="2"/>
                <w:sz w:val="21"/>
                <w:szCs w:val="24"/>
                <w:lang w:val="en-US" w:eastAsia="zh-CN" w:bidi="ar-SA"/>
                <w14:textFill>
                  <w14:solidFill>
                    <w14:schemeClr w14:val="tx1"/>
                  </w14:solidFill>
                </w14:textFill>
              </w:rPr>
            </w:pPr>
            <w:r>
              <w:rPr>
                <w:rFonts w:hint="eastAsia" w:cs="Times New Roman"/>
                <w:color w:val="000000" w:themeColor="text1"/>
                <w:spacing w:val="-7"/>
                <w:position w:val="2"/>
                <w:lang w:val="en-US" w:eastAsia="zh-CN"/>
                <w14:textFill>
                  <w14:solidFill>
                    <w14:schemeClr w14:val="tx1"/>
                  </w14:solidFill>
                </w14:textFill>
              </w:rPr>
              <w:t>18</w:t>
            </w:r>
          </w:p>
        </w:tc>
        <w:tc>
          <w:tcPr>
            <w:tcW w:w="1136" w:type="dxa"/>
            <w:tcBorders>
              <w:right w:val="single" w:color="000000" w:sz="6" w:space="0"/>
            </w:tcBorders>
            <w:vAlign w:val="center"/>
          </w:tcPr>
          <w:p>
            <w:pPr>
              <w:kinsoku/>
              <w:wordWrap w:val="0"/>
              <w:topLinePunct/>
              <w:autoSpaceDN/>
              <w:jc w:val="center"/>
              <w:textAlignment w:val="center"/>
              <w:rPr>
                <w:rFonts w:hint="default" w:ascii="Times New Roman" w:hAnsi="Times New Roman" w:eastAsia="宋体" w:cs="Times New Roman"/>
                <w:color w:val="000000" w:themeColor="text1"/>
                <w:spacing w:val="-7"/>
                <w:kern w:val="2"/>
                <w:position w:val="2"/>
                <w:sz w:val="21"/>
                <w:szCs w:val="24"/>
                <w:lang w:val="en-US" w:eastAsia="zh-CN" w:bidi="ar-SA"/>
                <w14:textFill>
                  <w14:solidFill>
                    <w14:schemeClr w14:val="tx1"/>
                  </w14:solidFill>
                </w14:textFill>
              </w:rPr>
            </w:pPr>
            <w:r>
              <w:rPr>
                <w:rFonts w:hint="eastAsia" w:cs="Times New Roman"/>
                <w:color w:val="000000" w:themeColor="text1"/>
                <w:spacing w:val="-7"/>
                <w:position w:val="2"/>
                <w:lang w:val="en-US" w:eastAsia="zh-CN"/>
                <w14:textFill>
                  <w14:solidFill>
                    <w14:schemeClr w14:val="tx1"/>
                  </w14:solidFill>
                </w14:textFill>
              </w:rPr>
              <w:t>+18</w:t>
            </w:r>
          </w:p>
        </w:tc>
      </w:tr>
    </w:tbl>
    <w:p>
      <w:pPr>
        <w:pStyle w:val="58"/>
        <w:spacing w:before="192" w:beforeLines="80" w:after="24"/>
        <w:ind w:firstLine="210" w:firstLineChars="1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 xml:space="preserve">   </w:t>
      </w:r>
    </w:p>
    <w:p>
      <w:pPr>
        <w:rPr>
          <w:rFonts w:hint="default" w:ascii="Times New Roman" w:hAnsi="Times New Roman" w:eastAsia="宋体" w:cs="Times New Roman"/>
          <w:color w:val="000000" w:themeColor="text1"/>
          <w14:textFill>
            <w14:solidFill>
              <w14:schemeClr w14:val="tx1"/>
            </w14:solidFill>
          </w14:textFill>
        </w:rPr>
        <w:sectPr>
          <w:pgSz w:w="16838" w:h="11906" w:orient="landscape"/>
          <w:pgMar w:top="1418" w:right="1531" w:bottom="1134" w:left="1531" w:header="851" w:footer="851" w:gutter="0"/>
          <w:pgNumType w:fmt="numberInDash"/>
          <w:cols w:space="720" w:num="1"/>
          <w:docGrid w:linePitch="312" w:charSpace="0"/>
        </w:sectPr>
      </w:pPr>
    </w:p>
    <w:p>
      <w:pPr>
        <w:pStyle w:val="42"/>
        <w:jc w:val="center"/>
        <w:rPr>
          <w:rFonts w:hint="eastAsia" w:cs="Times New Roman"/>
          <w:sz w:val="36"/>
          <w:szCs w:val="36"/>
          <w:lang w:val="en-US" w:eastAsia="zh-CN"/>
        </w:rPr>
      </w:pPr>
      <w:r>
        <w:rPr>
          <w:rFonts w:hint="eastAsia" w:cs="Times New Roman"/>
          <w:sz w:val="36"/>
          <w:szCs w:val="36"/>
          <w:lang w:val="en-US" w:eastAsia="zh-CN"/>
        </w:rPr>
        <w:t>地表水专项评价</w:t>
      </w:r>
    </w:p>
    <w:p>
      <w:pPr>
        <w:keepNext w:val="0"/>
        <w:keepLines w:val="0"/>
        <w:pageBreakBefore w:val="0"/>
        <w:widowControl/>
        <w:kinsoku/>
        <w:wordWrap/>
        <w:overflowPunct/>
        <w:topLinePunct w:val="0"/>
        <w:autoSpaceDE/>
        <w:autoSpaceDN/>
        <w:bidi w:val="0"/>
        <w:adjustRightInd/>
        <w:snapToGrid/>
        <w:spacing w:after="120" w:line="540" w:lineRule="exact"/>
        <w:ind w:left="1" w:firstLine="602" w:firstLineChars="200"/>
        <w:jc w:val="left"/>
        <w:textAlignment w:val="auto"/>
        <w:outlineLvl w:val="0"/>
        <w:rPr>
          <w:rFonts w:hint="eastAsia" w:ascii="Times New Roman" w:hAnsi="Times New Roman" w:eastAsia="宋体" w:cs="Times New Roman"/>
          <w:b/>
          <w:color w:val="000000"/>
          <w:sz w:val="30"/>
          <w:lang w:eastAsia="zh-CN"/>
        </w:rPr>
      </w:pPr>
      <w:bookmarkStart w:id="64" w:name="_Toc24816"/>
      <w:r>
        <w:rPr>
          <w:rFonts w:hint="default" w:ascii="Times New Roman" w:hAnsi="Times New Roman" w:eastAsia="宋体" w:cs="Times New Roman"/>
          <w:b/>
          <w:color w:val="000000"/>
          <w:sz w:val="30"/>
        </w:rPr>
        <w:t>1、总则</w:t>
      </w:r>
      <w:bookmarkEnd w:id="64"/>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Style w:val="106"/>
          <w:rFonts w:hint="eastAsia" w:ascii="Times New Roman" w:hAnsi="Times New Roman" w:eastAsiaTheme="minorEastAsia"/>
          <w:sz w:val="28"/>
          <w:szCs w:val="28"/>
          <w:lang w:eastAsia="zh-CN"/>
        </w:rPr>
      </w:pPr>
      <w:r>
        <w:rPr>
          <w:rStyle w:val="106"/>
          <w:rFonts w:ascii="Times New Roman" w:hAnsi="Times New Roman" w:eastAsiaTheme="minorEastAsia"/>
          <w:sz w:val="28"/>
          <w:szCs w:val="28"/>
        </w:rPr>
        <w:t>1.1编制目的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eastAsiaTheme="minorEastAsia"/>
          <w:sz w:val="24"/>
          <w:szCs w:val="24"/>
        </w:rPr>
        <w:t>本专项分析报告的编制，旨在进一步分析说明项目在环境影响报告表中未能详尽说明项目营运期废水污染物对区域地表水环境产生的影响、本项目拟采取的污染防治措施及其效果，专项报告的编制为环境保护行政主管部门的决策提供科学依据。</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Style w:val="106"/>
          <w:rFonts w:hint="eastAsia" w:ascii="Times New Roman" w:hAnsi="Times New Roman" w:cs="Times New Roman" w:eastAsiaTheme="minorEastAsia"/>
          <w:sz w:val="28"/>
          <w:szCs w:val="28"/>
          <w:lang w:eastAsia="zh-CN"/>
        </w:rPr>
      </w:pPr>
      <w:r>
        <w:rPr>
          <w:rStyle w:val="106"/>
          <w:rFonts w:ascii="Times New Roman" w:hAnsi="Times New Roman" w:cs="Times New Roman" w:eastAsiaTheme="minorEastAsia"/>
          <w:sz w:val="28"/>
          <w:szCs w:val="28"/>
        </w:rPr>
        <w:t>1.2编制依据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Theme="minorEastAsia"/>
          <w:b/>
          <w:bCs/>
          <w:sz w:val="24"/>
          <w:szCs w:val="24"/>
          <w:lang w:eastAsia="zh-CN"/>
        </w:rPr>
      </w:pPr>
      <w:r>
        <w:rPr>
          <w:rFonts w:eastAsiaTheme="minorEastAsia"/>
          <w:b/>
          <w:bCs/>
          <w:sz w:val="24"/>
          <w:szCs w:val="24"/>
        </w:rPr>
        <w:t>1.2.1法律、法规及相关条例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（1）《中华人民共和国环境保护法》（2014年4月24日修订）；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（2）《中华人民共和国环境影响评价法》（2018年12月29日修订）；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（3）《中华人民共和国水污染防治法》（2017年6月27日修订）；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（4）《建设项目环境保护管理条例》（国务院第682号令）；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（5）《建设项目环境影响评价分类管理名录》及修改单（部令第44号）；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sz w:val="24"/>
          <w:szCs w:val="24"/>
          <w:lang w:eastAsia="zh-CN"/>
        </w:rPr>
      </w:pPr>
      <w:r>
        <w:rPr>
          <w:rFonts w:ascii="Times New Roman" w:hAnsi="Times New Roman" w:cs="Times New Roman" w:eastAsiaTheme="minorEastAsia"/>
          <w:b/>
          <w:bCs/>
          <w:sz w:val="24"/>
          <w:szCs w:val="24"/>
        </w:rPr>
        <w:t xml:space="preserve"> 1.2.2技术导则、标准和规范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（1）《建设项目环境影响评价技术导则总纲》（HJ2.1-2016）；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（2）《环境影响评价技术导则 地表水环境》（HJ2.3-2018）；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）《地表水环境质量标准》（GB3838-2002）；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 xml:space="preserve">  （</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）《地表水资源质量标准》（SL63-94）；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val="en-GB" w:eastAsia="zh-CN"/>
        </w:rPr>
      </w:pPr>
      <w:r>
        <w:rPr>
          <w:rFonts w:ascii="Times New Roman" w:hAnsi="Times New Roman" w:cs="Times New Roman" w:eastAsiaTheme="minorEastAsia"/>
          <w:sz w:val="24"/>
          <w:szCs w:val="24"/>
        </w:rPr>
        <w:t xml:space="preserve">  （</w:t>
      </w:r>
      <w:r>
        <w:rPr>
          <w:rFonts w:hint="eastAsia" w:ascii="Times New Roman" w:hAnsi="Times New Roman" w:cs="Times New Roman" w:eastAsiaTheme="minorEastAsia"/>
          <w:sz w:val="24"/>
          <w:szCs w:val="24"/>
          <w:lang w:val="en-US" w:eastAsia="zh-CN"/>
        </w:rPr>
        <w:t>5</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en-GB"/>
        </w:rPr>
        <w:t>《污水综合排放标准》（GB8978-1996）</w:t>
      </w:r>
    </w:p>
    <w:p>
      <w:pPr>
        <w:ind w:firstLine="0" w:firstLineChars="0"/>
        <w:rPr>
          <w:rStyle w:val="105"/>
          <w:rFonts w:hint="eastAsia" w:eastAsiaTheme="minorEastAsia"/>
          <w:sz w:val="30"/>
          <w:szCs w:val="30"/>
          <w:lang w:eastAsia="zh-CN"/>
        </w:rPr>
        <w:sectPr>
          <w:pgSz w:w="11906" w:h="16838"/>
          <w:pgMar w:top="1361" w:right="1134" w:bottom="1361" w:left="1134" w:header="851" w:footer="850" w:gutter="0"/>
          <w:pgNumType w:fmt="numberInDash"/>
          <w:cols w:space="720" w:num="1"/>
          <w:docGrid w:linePitch="312" w:charSpace="0"/>
        </w:sectPr>
      </w:pPr>
      <w:bookmarkStart w:id="65" w:name="_Toc3765"/>
    </w:p>
    <w:p>
      <w:pPr>
        <w:keepNext w:val="0"/>
        <w:keepLines w:val="0"/>
        <w:pageBreakBefore w:val="0"/>
        <w:widowControl/>
        <w:kinsoku/>
        <w:wordWrap/>
        <w:overflowPunct/>
        <w:topLinePunct w:val="0"/>
        <w:autoSpaceDE/>
        <w:autoSpaceDN/>
        <w:bidi w:val="0"/>
        <w:adjustRightInd/>
        <w:snapToGrid/>
        <w:spacing w:after="120" w:line="540" w:lineRule="exact"/>
        <w:ind w:left="1" w:firstLine="602" w:firstLineChars="200"/>
        <w:jc w:val="left"/>
        <w:textAlignment w:val="auto"/>
        <w:outlineLvl w:val="0"/>
        <w:rPr>
          <w:rFonts w:hint="default" w:ascii="Times New Roman" w:hAnsi="Times New Roman" w:eastAsia="宋体" w:cs="Times New Roman"/>
          <w:b/>
          <w:color w:val="000000"/>
          <w:sz w:val="30"/>
        </w:rPr>
      </w:pPr>
      <w:r>
        <w:rPr>
          <w:rFonts w:hint="default" w:ascii="Times New Roman" w:hAnsi="Times New Roman" w:eastAsia="宋体" w:cs="Times New Roman"/>
          <w:b/>
          <w:color w:val="000000"/>
          <w:sz w:val="30"/>
        </w:rPr>
        <w:t>2、评价因子、标准</w:t>
      </w:r>
    </w:p>
    <w:bookmarkEnd w:id="65"/>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Style w:val="106"/>
          <w:rFonts w:hint="eastAsia" w:ascii="Times New Roman" w:hAnsi="Times New Roman" w:eastAsiaTheme="minorEastAsia"/>
          <w:sz w:val="28"/>
          <w:szCs w:val="28"/>
          <w:lang w:eastAsia="zh-CN"/>
        </w:rPr>
      </w:pPr>
      <w:bookmarkStart w:id="66" w:name="_Toc24825"/>
      <w:r>
        <w:rPr>
          <w:rStyle w:val="106"/>
          <w:rFonts w:ascii="Times New Roman" w:hAnsi="Times New Roman" w:eastAsiaTheme="minorEastAsia"/>
          <w:sz w:val="28"/>
          <w:szCs w:val="28"/>
        </w:rPr>
        <w:t>2.1评价因子</w:t>
      </w:r>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Theme="minorEastAsia"/>
          <w:sz w:val="24"/>
          <w:szCs w:val="24"/>
        </w:rPr>
      </w:pPr>
      <w:r>
        <w:rPr>
          <w:rFonts w:eastAsiaTheme="minorEastAsia"/>
          <w:sz w:val="24"/>
          <w:szCs w:val="24"/>
        </w:rPr>
        <w:t>根据本项目污染物排放特点及周边区域环境特征分析，确定地表水、地下水环境评价因子见表2.1-1。</w:t>
      </w:r>
    </w:p>
    <w:p>
      <w:pPr>
        <w:ind w:firstLine="0" w:firstLineChars="0"/>
        <w:jc w:val="center"/>
        <w:rPr>
          <w:rFonts w:eastAsiaTheme="minorEastAsia"/>
          <w:b/>
          <w:bCs/>
          <w:sz w:val="24"/>
          <w:szCs w:val="24"/>
        </w:rPr>
      </w:pPr>
      <w:r>
        <w:rPr>
          <w:rFonts w:eastAsiaTheme="minorEastAsia"/>
          <w:b/>
          <w:bCs/>
          <w:sz w:val="24"/>
          <w:szCs w:val="24"/>
        </w:rPr>
        <w:t>表2.1-1 项目评价因子一览表</w:t>
      </w:r>
    </w:p>
    <w:tbl>
      <w:tblPr>
        <w:tblStyle w:val="3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864"/>
        <w:gridCol w:w="2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blHeader/>
          <w:jc w:val="center"/>
        </w:trPr>
        <w:tc>
          <w:tcPr>
            <w:tcW w:w="1186"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环境要素</w:t>
            </w:r>
          </w:p>
        </w:tc>
        <w:tc>
          <w:tcPr>
            <w:tcW w:w="4864"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环境质量现状评价因子</w:t>
            </w:r>
          </w:p>
        </w:tc>
        <w:tc>
          <w:tcPr>
            <w:tcW w:w="2472"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环境影响预测评价因子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186" w:type="dxa"/>
            <w:noWrap/>
            <w:vAlign w:val="center"/>
          </w:tcPr>
          <w:p>
            <w:pPr>
              <w:spacing w:line="240" w:lineRule="auto"/>
              <w:ind w:firstLine="0" w:firstLineChars="0"/>
              <w:jc w:val="center"/>
              <w:rPr>
                <w:rFonts w:eastAsiaTheme="minorEastAsia"/>
                <w:spacing w:val="-10"/>
                <w:sz w:val="21"/>
                <w:szCs w:val="21"/>
              </w:rPr>
            </w:pPr>
            <w:r>
              <w:rPr>
                <w:rFonts w:eastAsiaTheme="minorEastAsia"/>
                <w:spacing w:val="-10"/>
                <w:sz w:val="21"/>
                <w:szCs w:val="21"/>
              </w:rPr>
              <w:t>地表水环境</w:t>
            </w:r>
          </w:p>
        </w:tc>
        <w:tc>
          <w:tcPr>
            <w:tcW w:w="4864" w:type="dxa"/>
            <w:noWrap/>
            <w:vAlign w:val="center"/>
          </w:tcPr>
          <w:p>
            <w:pPr>
              <w:spacing w:line="240" w:lineRule="atLeast"/>
              <w:ind w:firstLine="0" w:firstLineChars="0"/>
              <w:rPr>
                <w:rFonts w:eastAsiaTheme="minorEastAsia"/>
                <w:sz w:val="21"/>
                <w:szCs w:val="21"/>
              </w:rPr>
            </w:pPr>
            <w:r>
              <w:rPr>
                <w:sz w:val="24"/>
              </w:rPr>
              <w:t>pH、</w:t>
            </w:r>
            <w:r>
              <w:rPr>
                <w:rFonts w:hint="eastAsia"/>
                <w:sz w:val="24"/>
                <w:lang w:val="en-US" w:eastAsia="zh-CN"/>
              </w:rPr>
              <w:t>COD、BOD5、SS、氨氮、总氮、总磷、动植物油</w:t>
            </w:r>
          </w:p>
        </w:tc>
        <w:tc>
          <w:tcPr>
            <w:tcW w:w="2472" w:type="dxa"/>
            <w:noWrap/>
            <w:vAlign w:val="center"/>
          </w:tcPr>
          <w:p>
            <w:pPr>
              <w:spacing w:line="240" w:lineRule="auto"/>
              <w:ind w:firstLine="0" w:firstLineChars="0"/>
              <w:rPr>
                <w:rFonts w:eastAsiaTheme="minorEastAsia"/>
                <w:sz w:val="21"/>
                <w:szCs w:val="21"/>
              </w:rPr>
            </w:pPr>
            <w:r>
              <w:rPr>
                <w:rFonts w:eastAsiaTheme="minorEastAsia"/>
                <w:sz w:val="21"/>
                <w:szCs w:val="21"/>
              </w:rPr>
              <w:t>COD、NH</w:t>
            </w:r>
            <w:r>
              <w:rPr>
                <w:rFonts w:eastAsiaTheme="minorEastAsia"/>
                <w:sz w:val="21"/>
                <w:szCs w:val="21"/>
                <w:vertAlign w:val="subscript"/>
              </w:rPr>
              <w:t>3</w:t>
            </w:r>
            <w:r>
              <w:rPr>
                <w:rFonts w:eastAsiaTheme="minorEastAsia"/>
                <w:sz w:val="21"/>
                <w:szCs w:val="21"/>
              </w:rPr>
              <w:t>-N</w:t>
            </w: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Style w:val="106"/>
          <w:rFonts w:ascii="Times New Roman" w:hAnsi="Times New Roman" w:cs="Times New Roman" w:eastAsiaTheme="minorEastAsia"/>
          <w:sz w:val="28"/>
          <w:szCs w:val="28"/>
        </w:rPr>
      </w:pPr>
      <w:bookmarkStart w:id="67" w:name="_Toc14114"/>
      <w:r>
        <w:rPr>
          <w:rStyle w:val="106"/>
          <w:rFonts w:ascii="Times New Roman" w:hAnsi="Times New Roman" w:cs="Times New Roman" w:eastAsiaTheme="minorEastAsia"/>
          <w:sz w:val="28"/>
          <w:szCs w:val="28"/>
        </w:rPr>
        <w:t>2.2地表水环境功能区划及执行标准</w:t>
      </w:r>
    </w:p>
    <w:bookmarkEnd w:id="67"/>
    <w:p>
      <w:pPr>
        <w:keepNext w:val="0"/>
        <w:keepLines w:val="0"/>
        <w:pageBreakBefore w:val="0"/>
        <w:widowControl w:val="0"/>
        <w:tabs>
          <w:tab w:val="left" w:pos="62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color w:val="auto"/>
          <w:sz w:val="24"/>
          <w:szCs w:val="24"/>
          <w:highlight w:val="none"/>
          <w:u w:val="none"/>
          <w:lang w:eastAsia="zh-CN"/>
        </w:rPr>
        <w:t>本项目距离项目最近的地表水体为项目</w:t>
      </w:r>
      <w:r>
        <w:rPr>
          <w:rFonts w:hint="eastAsia"/>
          <w:color w:val="auto"/>
          <w:sz w:val="24"/>
          <w:szCs w:val="24"/>
          <w:highlight w:val="none"/>
          <w:u w:val="none"/>
          <w:lang w:val="en-US" w:eastAsia="zh-CN"/>
        </w:rPr>
        <w:t>东</w:t>
      </w:r>
      <w:r>
        <w:rPr>
          <w:rFonts w:hint="eastAsia"/>
          <w:color w:val="auto"/>
          <w:sz w:val="24"/>
          <w:szCs w:val="24"/>
          <w:highlight w:val="none"/>
          <w:u w:val="none"/>
          <w:lang w:eastAsia="zh-CN"/>
        </w:rPr>
        <w:t>面</w:t>
      </w:r>
      <w:r>
        <w:rPr>
          <w:rFonts w:hint="eastAsia"/>
          <w:color w:val="auto"/>
          <w:sz w:val="24"/>
          <w:szCs w:val="24"/>
          <w:highlight w:val="none"/>
          <w:u w:val="none"/>
          <w:lang w:val="en-US" w:eastAsia="zh-CN"/>
        </w:rPr>
        <w:t>15m处的黄蜡河，根据《</w:t>
      </w:r>
      <w:r>
        <w:rPr>
          <w:rFonts w:ascii="宋体" w:hAnsi="宋体" w:eastAsia="宋体" w:cs="宋体"/>
          <w:sz w:val="24"/>
          <w:szCs w:val="24"/>
        </w:rPr>
        <w:t>鹿寨县县城饮用水水源保护区调整划定方案</w:t>
      </w:r>
      <w:r>
        <w:rPr>
          <w:rFonts w:hint="eastAsia"/>
          <w:color w:val="auto"/>
          <w:sz w:val="24"/>
          <w:szCs w:val="24"/>
          <w:highlight w:val="none"/>
          <w:u w:val="none"/>
          <w:lang w:val="en-US" w:eastAsia="zh-CN"/>
        </w:rPr>
        <w:t>》项目不属于饮用水水源地二级保护区。</w:t>
      </w:r>
      <w:r>
        <w:rPr>
          <w:rFonts w:hint="eastAsia"/>
          <w:color w:val="auto"/>
          <w:sz w:val="24"/>
          <w:szCs w:val="24"/>
          <w:highlight w:val="none"/>
          <w:u w:val="none"/>
        </w:rPr>
        <w:t>据柳州市生</w:t>
      </w:r>
      <w:r>
        <w:rPr>
          <w:color w:val="auto"/>
          <w:sz w:val="24"/>
          <w:szCs w:val="24"/>
          <w:highlight w:val="none"/>
          <w:u w:val="none"/>
        </w:rPr>
        <w:t>态环境局公布的《20</w:t>
      </w:r>
      <w:r>
        <w:rPr>
          <w:rFonts w:hint="eastAsia"/>
          <w:color w:val="auto"/>
          <w:sz w:val="24"/>
          <w:szCs w:val="24"/>
          <w:highlight w:val="none"/>
          <w:u w:val="none"/>
          <w:lang w:val="en-US" w:eastAsia="zh-CN"/>
        </w:rPr>
        <w:t>22</w:t>
      </w:r>
      <w:r>
        <w:rPr>
          <w:color w:val="auto"/>
          <w:sz w:val="24"/>
          <w:szCs w:val="24"/>
          <w:highlight w:val="none"/>
          <w:u w:val="none"/>
        </w:rPr>
        <w:t>年</w:t>
      </w:r>
      <w:r>
        <w:rPr>
          <w:rFonts w:hint="eastAsia"/>
          <w:color w:val="auto"/>
          <w:sz w:val="24"/>
          <w:szCs w:val="24"/>
          <w:highlight w:val="none"/>
          <w:u w:val="none"/>
          <w:lang w:eastAsia="zh-CN"/>
        </w:rPr>
        <w:t>柳州市生态</w:t>
      </w:r>
      <w:r>
        <w:rPr>
          <w:color w:val="auto"/>
          <w:sz w:val="24"/>
          <w:szCs w:val="24"/>
          <w:highlight w:val="none"/>
          <w:u w:val="none"/>
        </w:rPr>
        <w:t>环境</w:t>
      </w:r>
      <w:r>
        <w:rPr>
          <w:rFonts w:hint="eastAsia"/>
          <w:color w:val="auto"/>
          <w:sz w:val="24"/>
          <w:szCs w:val="24"/>
          <w:highlight w:val="none"/>
          <w:u w:val="none"/>
          <w:lang w:eastAsia="zh-CN"/>
        </w:rPr>
        <w:t>状况</w:t>
      </w:r>
      <w:r>
        <w:rPr>
          <w:color w:val="auto"/>
          <w:sz w:val="24"/>
          <w:szCs w:val="24"/>
          <w:highlight w:val="none"/>
          <w:u w:val="none"/>
        </w:rPr>
        <w:t>公报》，</w:t>
      </w:r>
      <w:r>
        <w:rPr>
          <w:rFonts w:hint="eastAsia"/>
          <w:color w:val="auto"/>
          <w:sz w:val="24"/>
          <w:szCs w:val="24"/>
          <w:highlight w:val="none"/>
          <w:u w:val="none"/>
        </w:rPr>
        <w:t>2022年，柳州市10个国控断面水质年均评价均达到或优于I类水质标准;国控断面年均评价为类水质的占50%。9个非国控断面水质年均评价均达到或优于I类水质标准。</w:t>
      </w:r>
      <w:r>
        <w:rPr>
          <w:rFonts w:hint="eastAsia"/>
          <w:color w:val="auto"/>
          <w:sz w:val="24"/>
          <w:szCs w:val="24"/>
          <w:highlight w:val="none"/>
          <w:u w:val="none"/>
          <w:lang w:val="en-US" w:eastAsia="zh-CN"/>
        </w:rPr>
        <w:t>项目评价河流黄蜡河水功能区属于二级水功能区，</w:t>
      </w:r>
      <w:r>
        <w:rPr>
          <w:rFonts w:hint="default" w:ascii="Times New Roman" w:hAnsi="Times New Roman" w:eastAsia="宋体" w:cs="Times New Roman"/>
          <w:sz w:val="24"/>
          <w:szCs w:val="24"/>
        </w:rPr>
        <w:t>项目评价河段水质现状满足《地表水环境质量标准》（GB3838-2002）Ⅱ类水质要求。</w:t>
      </w:r>
    </w:p>
    <w:p>
      <w:pPr>
        <w:ind w:firstLine="0" w:firstLineChars="0"/>
        <w:jc w:val="center"/>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表2.3-1  地表水环境质量标准</w:t>
      </w:r>
    </w:p>
    <w:tbl>
      <w:tblPr>
        <w:tblStyle w:val="3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986"/>
        <w:gridCol w:w="3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blHeader/>
          <w:jc w:val="center"/>
        </w:trPr>
        <w:tc>
          <w:tcPr>
            <w:tcW w:w="1556"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序号</w:t>
            </w:r>
          </w:p>
        </w:tc>
        <w:tc>
          <w:tcPr>
            <w:tcW w:w="2986"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项目</w:t>
            </w:r>
          </w:p>
        </w:tc>
        <w:tc>
          <w:tcPr>
            <w:tcW w:w="3980" w:type="dxa"/>
            <w:noWrap/>
            <w:vAlign w:val="center"/>
          </w:tcPr>
          <w:p>
            <w:pPr>
              <w:spacing w:line="240" w:lineRule="auto"/>
              <w:ind w:firstLine="0" w:firstLineChars="0"/>
              <w:jc w:val="center"/>
              <w:rPr>
                <w:rFonts w:eastAsiaTheme="minorEastAsia"/>
                <w:b/>
                <w:sz w:val="21"/>
                <w:szCs w:val="21"/>
              </w:rPr>
            </w:pPr>
            <w:r>
              <w:rPr>
                <w:rFonts w:eastAsiaTheme="minorEastAsia"/>
                <w:b/>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1</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pH值</w:t>
            </w:r>
          </w:p>
        </w:tc>
        <w:tc>
          <w:tcPr>
            <w:tcW w:w="3980"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2</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溶解氧(mg/L)</w:t>
            </w:r>
          </w:p>
        </w:tc>
        <w:tc>
          <w:tcPr>
            <w:tcW w:w="3980" w:type="dxa"/>
            <w:noWrap/>
            <w:vAlign w:val="center"/>
          </w:tcPr>
          <w:p>
            <w:pPr>
              <w:tabs>
                <w:tab w:val="left" w:pos="915"/>
              </w:tabs>
              <w:adjustRightInd w:val="0"/>
              <w:snapToGrid w:val="0"/>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3</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高锰酸盐指数(mg/L)</w:t>
            </w:r>
          </w:p>
        </w:tc>
        <w:tc>
          <w:tcPr>
            <w:tcW w:w="3980" w:type="dxa"/>
            <w:noWrap/>
            <w:vAlign w:val="center"/>
          </w:tcPr>
          <w:p>
            <w:pPr>
              <w:tabs>
                <w:tab w:val="left" w:pos="915"/>
              </w:tabs>
              <w:adjustRightInd w:val="0"/>
              <w:snapToGrid w:val="0"/>
              <w:spacing w:line="240" w:lineRule="auto"/>
              <w:ind w:firstLine="0" w:firstLineChars="0"/>
              <w:jc w:val="center"/>
              <w:rPr>
                <w:rFonts w:hint="eastAsia" w:eastAsiaTheme="minorEastAsia"/>
                <w:sz w:val="21"/>
                <w:szCs w:val="21"/>
                <w:lang w:eastAsia="zh-CN"/>
              </w:rPr>
            </w:pPr>
            <w:r>
              <w:rPr>
                <w:rFonts w:eastAsiaTheme="minorEastAsia"/>
                <w:sz w:val="21"/>
                <w:szCs w:val="21"/>
              </w:rPr>
              <w:t>≤</w:t>
            </w:r>
            <w:r>
              <w:rPr>
                <w:rFonts w:hint="eastAsia" w:eastAsiaTheme="minorEastAsia"/>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4</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总磷(mg/L)</w:t>
            </w:r>
          </w:p>
        </w:tc>
        <w:tc>
          <w:tcPr>
            <w:tcW w:w="3980" w:type="dxa"/>
            <w:noWrap/>
            <w:vAlign w:val="center"/>
          </w:tcPr>
          <w:p>
            <w:pPr>
              <w:tabs>
                <w:tab w:val="left" w:pos="915"/>
              </w:tabs>
              <w:adjustRightInd w:val="0"/>
              <w:snapToGrid w:val="0"/>
              <w:spacing w:line="240" w:lineRule="auto"/>
              <w:ind w:firstLine="0" w:firstLineChars="0"/>
              <w:jc w:val="center"/>
              <w:rPr>
                <w:rFonts w:hint="eastAsia" w:eastAsiaTheme="minorEastAsia"/>
                <w:sz w:val="21"/>
                <w:szCs w:val="21"/>
                <w:lang w:val="en-US" w:eastAsia="zh-CN"/>
              </w:rPr>
            </w:pPr>
            <w:r>
              <w:rPr>
                <w:rFonts w:eastAsiaTheme="minorEastAsia"/>
                <w:sz w:val="21"/>
                <w:szCs w:val="21"/>
              </w:rPr>
              <w:t>≤0.</w:t>
            </w:r>
            <w:r>
              <w:rPr>
                <w:rFonts w:hint="eastAsia" w:eastAsiaTheme="minorEastAsia"/>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5</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氨氮(mg/L)</w:t>
            </w:r>
          </w:p>
        </w:tc>
        <w:tc>
          <w:tcPr>
            <w:tcW w:w="3980" w:type="dxa"/>
            <w:noWrap/>
            <w:vAlign w:val="center"/>
          </w:tcPr>
          <w:p>
            <w:pPr>
              <w:tabs>
                <w:tab w:val="left" w:pos="915"/>
              </w:tabs>
              <w:adjustRightInd w:val="0"/>
              <w:snapToGrid w:val="0"/>
              <w:spacing w:line="240" w:lineRule="auto"/>
              <w:ind w:firstLine="0" w:firstLineChars="0"/>
              <w:jc w:val="center"/>
              <w:rPr>
                <w:rFonts w:hint="default" w:eastAsiaTheme="minorEastAsia"/>
                <w:sz w:val="21"/>
                <w:szCs w:val="21"/>
                <w:lang w:val="en-US" w:eastAsia="zh-CN"/>
              </w:rPr>
            </w:pPr>
            <w:r>
              <w:rPr>
                <w:rFonts w:eastAsiaTheme="minorEastAsia"/>
                <w:sz w:val="21"/>
                <w:szCs w:val="21"/>
              </w:rPr>
              <w:t>≤</w:t>
            </w:r>
            <w:r>
              <w:rPr>
                <w:rFonts w:hint="eastAsia" w:eastAsiaTheme="minorEastAsia"/>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6</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总氮(mg/L)</w:t>
            </w:r>
          </w:p>
        </w:tc>
        <w:tc>
          <w:tcPr>
            <w:tcW w:w="3980"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w:t>
            </w:r>
            <w:r>
              <w:rPr>
                <w:rFonts w:hint="eastAsia" w:eastAsiaTheme="minorEastAsia"/>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7</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悬浮物(mg/L)</w:t>
            </w:r>
          </w:p>
        </w:tc>
        <w:tc>
          <w:tcPr>
            <w:tcW w:w="3980" w:type="dxa"/>
            <w:noWrap/>
            <w:vAlign w:val="center"/>
          </w:tcPr>
          <w:p>
            <w:pPr>
              <w:tabs>
                <w:tab w:val="left" w:pos="915"/>
              </w:tabs>
              <w:adjustRightInd w:val="0"/>
              <w:snapToGrid w:val="0"/>
              <w:spacing w:line="240" w:lineRule="auto"/>
              <w:ind w:firstLine="0" w:firstLineChars="0"/>
              <w:jc w:val="center"/>
              <w:rPr>
                <w:rFonts w:hint="default" w:eastAsiaTheme="minorEastAsia"/>
                <w:sz w:val="21"/>
                <w:szCs w:val="21"/>
                <w:lang w:val="en-US" w:eastAsia="zh-CN"/>
              </w:rPr>
            </w:pPr>
            <w:r>
              <w:rPr>
                <w:rFonts w:eastAsiaTheme="minorEastAsia"/>
                <w:sz w:val="21"/>
                <w:szCs w:val="21"/>
              </w:rPr>
              <w:t>&lt;</w:t>
            </w:r>
            <w:r>
              <w:rPr>
                <w:rFonts w:hint="eastAsia" w:eastAsiaTheme="minorEastAsia"/>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8</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五日生化需氧量(mg/L)</w:t>
            </w:r>
          </w:p>
        </w:tc>
        <w:tc>
          <w:tcPr>
            <w:tcW w:w="3980" w:type="dxa"/>
            <w:noWrap/>
            <w:vAlign w:val="center"/>
          </w:tcPr>
          <w:p>
            <w:pPr>
              <w:tabs>
                <w:tab w:val="left" w:pos="915"/>
              </w:tabs>
              <w:adjustRightInd w:val="0"/>
              <w:snapToGrid w:val="0"/>
              <w:spacing w:line="240" w:lineRule="auto"/>
              <w:ind w:firstLine="0" w:firstLineChars="0"/>
              <w:jc w:val="center"/>
              <w:rPr>
                <w:rFonts w:hint="eastAsia" w:eastAsiaTheme="minorEastAsia"/>
                <w:sz w:val="21"/>
                <w:szCs w:val="21"/>
                <w:lang w:eastAsia="zh-CN"/>
              </w:rPr>
            </w:pPr>
            <w:r>
              <w:rPr>
                <w:rFonts w:eastAsiaTheme="minorEastAsia"/>
                <w:sz w:val="21"/>
                <w:szCs w:val="21"/>
              </w:rPr>
              <w:t>≤</w:t>
            </w:r>
            <w:r>
              <w:rPr>
                <w:rFonts w:hint="eastAsia" w:eastAsiaTheme="minorEastAsia"/>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eastAsia" w:eastAsiaTheme="minorEastAsia"/>
                <w:sz w:val="21"/>
                <w:szCs w:val="21"/>
                <w:lang w:eastAsia="zh-CN"/>
              </w:rPr>
            </w:pPr>
            <w:r>
              <w:rPr>
                <w:rFonts w:hint="eastAsia" w:eastAsiaTheme="minorEastAsia"/>
                <w:sz w:val="21"/>
                <w:szCs w:val="21"/>
                <w:lang w:val="en-US" w:eastAsia="zh-CN"/>
              </w:rPr>
              <w:t>9</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bCs/>
                <w:sz w:val="21"/>
                <w:szCs w:val="21"/>
              </w:rPr>
              <w:t>石油类</w:t>
            </w:r>
            <w:r>
              <w:rPr>
                <w:rFonts w:eastAsiaTheme="minorEastAsia"/>
                <w:sz w:val="21"/>
                <w:szCs w:val="21"/>
              </w:rPr>
              <w:t>(mg/L)</w:t>
            </w:r>
          </w:p>
        </w:tc>
        <w:tc>
          <w:tcPr>
            <w:tcW w:w="3980"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eastAsiaTheme="minorEastAsia"/>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6" w:type="dxa"/>
            <w:noWrap/>
            <w:vAlign w:val="center"/>
          </w:tcPr>
          <w:p>
            <w:pPr>
              <w:spacing w:line="240" w:lineRule="auto"/>
              <w:ind w:firstLine="0" w:firstLineChars="0"/>
              <w:jc w:val="center"/>
              <w:rPr>
                <w:rFonts w:hint="default" w:eastAsiaTheme="minorEastAsia"/>
                <w:sz w:val="21"/>
                <w:szCs w:val="21"/>
                <w:lang w:val="en-US" w:eastAsia="zh-CN"/>
              </w:rPr>
            </w:pPr>
            <w:r>
              <w:rPr>
                <w:rFonts w:hint="eastAsia" w:eastAsiaTheme="minorEastAsia"/>
                <w:sz w:val="21"/>
                <w:szCs w:val="21"/>
                <w:lang w:val="en-US" w:eastAsia="zh-CN"/>
              </w:rPr>
              <w:t>10</w:t>
            </w:r>
          </w:p>
        </w:tc>
        <w:tc>
          <w:tcPr>
            <w:tcW w:w="2986" w:type="dxa"/>
            <w:noWrap/>
            <w:vAlign w:val="center"/>
          </w:tcPr>
          <w:p>
            <w:pPr>
              <w:tabs>
                <w:tab w:val="left" w:pos="915"/>
              </w:tabs>
              <w:adjustRightInd w:val="0"/>
              <w:snapToGrid w:val="0"/>
              <w:spacing w:line="240" w:lineRule="auto"/>
              <w:ind w:firstLine="0" w:firstLineChars="0"/>
              <w:jc w:val="center"/>
              <w:rPr>
                <w:rFonts w:eastAsiaTheme="minorEastAsia"/>
                <w:sz w:val="21"/>
                <w:szCs w:val="21"/>
              </w:rPr>
            </w:pPr>
            <w:r>
              <w:rPr>
                <w:rFonts w:hint="eastAsia" w:eastAsiaTheme="minorEastAsia"/>
                <w:sz w:val="21"/>
                <w:szCs w:val="21"/>
              </w:rPr>
              <w:t>化学</w:t>
            </w:r>
            <w:r>
              <w:rPr>
                <w:rFonts w:eastAsiaTheme="minorEastAsia"/>
                <w:sz w:val="21"/>
                <w:szCs w:val="21"/>
              </w:rPr>
              <w:t>需氧量(mg/L)</w:t>
            </w:r>
          </w:p>
        </w:tc>
        <w:tc>
          <w:tcPr>
            <w:tcW w:w="3980" w:type="dxa"/>
            <w:noWrap/>
            <w:vAlign w:val="center"/>
          </w:tcPr>
          <w:p>
            <w:pPr>
              <w:tabs>
                <w:tab w:val="left" w:pos="915"/>
              </w:tabs>
              <w:adjustRightInd w:val="0"/>
              <w:snapToGrid w:val="0"/>
              <w:spacing w:line="240" w:lineRule="auto"/>
              <w:ind w:firstLine="0" w:firstLineChars="0"/>
              <w:jc w:val="center"/>
              <w:rPr>
                <w:rFonts w:hint="default" w:eastAsiaTheme="minorEastAsia"/>
                <w:sz w:val="21"/>
                <w:szCs w:val="21"/>
                <w:lang w:val="en-US" w:eastAsia="zh-CN"/>
              </w:rPr>
            </w:pPr>
            <w:r>
              <w:rPr>
                <w:rFonts w:eastAsiaTheme="minorEastAsia"/>
                <w:sz w:val="21"/>
                <w:szCs w:val="21"/>
              </w:rPr>
              <w:t>≤</w:t>
            </w:r>
            <w:r>
              <w:rPr>
                <w:rFonts w:hint="eastAsia" w:eastAsiaTheme="minorEastAsia"/>
                <w:sz w:val="21"/>
                <w:szCs w:val="21"/>
                <w:lang w:val="en-US" w:eastAsia="zh-CN"/>
              </w:rPr>
              <w:t>15</w:t>
            </w:r>
          </w:p>
        </w:tc>
      </w:tr>
    </w:tbl>
    <w:p>
      <w:pPr>
        <w:spacing w:line="240" w:lineRule="auto"/>
        <w:ind w:firstLine="420"/>
        <w:rPr>
          <w:rFonts w:eastAsiaTheme="minorEastAsia"/>
          <w:sz w:val="21"/>
          <w:szCs w:val="21"/>
        </w:rPr>
      </w:pPr>
      <w:r>
        <w:rPr>
          <w:rFonts w:eastAsiaTheme="minorEastAsia"/>
          <w:sz w:val="21"/>
          <w:szCs w:val="21"/>
        </w:rPr>
        <w:t>*悬浮物（SS）参照执行《地表水资源质量标准》（SL63-94）中的</w:t>
      </w:r>
      <w:r>
        <w:rPr>
          <w:rFonts w:hint="eastAsia" w:eastAsiaTheme="minorEastAsia"/>
          <w:sz w:val="21"/>
          <w:szCs w:val="21"/>
          <w:lang w:val="en-US" w:eastAsia="zh-CN"/>
        </w:rPr>
        <w:t>二</w:t>
      </w:r>
      <w:r>
        <w:rPr>
          <w:rFonts w:eastAsiaTheme="minorEastAsia"/>
          <w:sz w:val="21"/>
          <w:szCs w:val="21"/>
        </w:rPr>
        <w:t>级标准值：≤</w:t>
      </w:r>
      <w:r>
        <w:rPr>
          <w:rFonts w:hint="eastAsia" w:eastAsiaTheme="minorEastAsia"/>
          <w:sz w:val="21"/>
          <w:szCs w:val="21"/>
          <w:lang w:val="en-US" w:eastAsia="zh-CN"/>
        </w:rPr>
        <w:t>25</w:t>
      </w:r>
      <w:r>
        <w:rPr>
          <w:rFonts w:eastAsiaTheme="minorEastAsia"/>
          <w:sz w:val="21"/>
          <w:szCs w:val="21"/>
        </w:rPr>
        <w:t>mg/L。</w:t>
      </w:r>
    </w:p>
    <w:p>
      <w:pPr>
        <w:pStyle w:val="107"/>
        <w:rPr>
          <w:rFonts w:cs="Times New Roman" w:eastAsiaTheme="minorEastAsia"/>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Style w:val="106"/>
          <w:rFonts w:ascii="Times New Roman" w:hAnsi="Times New Roman" w:eastAsiaTheme="minorEastAsia"/>
          <w:sz w:val="28"/>
          <w:szCs w:val="28"/>
        </w:rPr>
      </w:pPr>
      <w:bookmarkStart w:id="68" w:name="_Toc30432"/>
      <w:r>
        <w:rPr>
          <w:rStyle w:val="106"/>
          <w:rFonts w:ascii="Times New Roman" w:hAnsi="Times New Roman" w:eastAsiaTheme="minorEastAsia"/>
          <w:sz w:val="28"/>
          <w:szCs w:val="28"/>
        </w:rPr>
        <w:t>2.</w:t>
      </w:r>
      <w:r>
        <w:rPr>
          <w:rStyle w:val="106"/>
          <w:rFonts w:hint="eastAsia" w:ascii="Times New Roman" w:hAnsi="Times New Roman" w:eastAsiaTheme="minorEastAsia"/>
          <w:sz w:val="28"/>
          <w:szCs w:val="28"/>
          <w:lang w:val="en-US" w:eastAsia="zh-CN"/>
        </w:rPr>
        <w:t>3</w:t>
      </w:r>
      <w:r>
        <w:rPr>
          <w:rStyle w:val="106"/>
          <w:rFonts w:ascii="Times New Roman" w:hAnsi="Times New Roman" w:eastAsiaTheme="minorEastAsia"/>
          <w:sz w:val="28"/>
          <w:szCs w:val="28"/>
        </w:rPr>
        <w:t>废水排放标准</w:t>
      </w:r>
    </w:p>
    <w:bookmarkEnd w:id="68"/>
    <w:p>
      <w:pPr>
        <w:keepNext w:val="0"/>
        <w:keepLines w:val="0"/>
        <w:pageBreakBefore w:val="0"/>
        <w:widowControl w:val="0"/>
        <w:kinsoku/>
        <w:wordWrap/>
        <w:overflowPunct/>
        <w:topLinePunct w:val="0"/>
        <w:autoSpaceDE w:val="0"/>
        <w:autoSpaceDN/>
        <w:bidi w:val="0"/>
        <w:adjustRightInd/>
        <w:snapToGrid w:val="0"/>
        <w:spacing w:line="360" w:lineRule="auto"/>
        <w:ind w:firstLine="480" w:firstLineChars="200"/>
        <w:textAlignment w:val="auto"/>
        <w:rPr>
          <w:sz w:val="24"/>
        </w:rPr>
      </w:pPr>
      <w:bookmarkStart w:id="69" w:name="_Toc31252"/>
      <w:r>
        <w:rPr>
          <w:rFonts w:hint="eastAsia"/>
          <w:sz w:val="24"/>
        </w:rPr>
        <w:t>本项目生活废水经化粪池预处理后与生产废水一同排入厂内一体化废水处理设施处理后排入</w:t>
      </w:r>
      <w:r>
        <w:rPr>
          <w:rFonts w:hint="eastAsia"/>
          <w:sz w:val="24"/>
          <w:lang w:val="en-US" w:eastAsia="zh-CN"/>
        </w:rPr>
        <w:t>黄蜡河</w:t>
      </w:r>
      <w:r>
        <w:rPr>
          <w:rFonts w:hint="eastAsia"/>
          <w:sz w:val="24"/>
        </w:rPr>
        <w:t>。废水排放执行《污水综合排放标准》（GB8978-1996）表4中一级标准。</w:t>
      </w:r>
    </w:p>
    <w:p>
      <w:pPr>
        <w:ind w:firstLine="0" w:firstLineChars="0"/>
        <w:jc w:val="center"/>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表</w:t>
      </w:r>
      <w:r>
        <w:rPr>
          <w:rFonts w:hint="eastAsia" w:ascii="Times New Roman" w:hAnsi="Times New Roman" w:cs="Times New Roman" w:eastAsiaTheme="minorEastAsia"/>
          <w:b/>
          <w:bCs/>
          <w:sz w:val="24"/>
          <w:szCs w:val="24"/>
          <w:lang w:val="en-US" w:eastAsia="zh-CN"/>
        </w:rPr>
        <w:t>2-4</w:t>
      </w:r>
      <w:r>
        <w:rPr>
          <w:rFonts w:hint="eastAsia" w:ascii="Times New Roman" w:hAnsi="Times New Roman" w:cs="Times New Roman" w:eastAsiaTheme="minorEastAsia"/>
          <w:b/>
          <w:bCs/>
          <w:sz w:val="24"/>
          <w:szCs w:val="24"/>
        </w:rPr>
        <w:t>《污水综合排放标准》（G</w:t>
      </w:r>
      <w:r>
        <w:rPr>
          <w:rFonts w:ascii="Times New Roman" w:hAnsi="Times New Roman" w:cs="Times New Roman" w:eastAsiaTheme="minorEastAsia"/>
          <w:b/>
          <w:bCs/>
          <w:sz w:val="24"/>
          <w:szCs w:val="24"/>
        </w:rPr>
        <w:t>B8978-1996</w:t>
      </w:r>
      <w:r>
        <w:rPr>
          <w:rFonts w:hint="eastAsia" w:ascii="Times New Roman" w:hAnsi="Times New Roman" w:cs="Times New Roman" w:eastAsiaTheme="minorEastAsia"/>
          <w:b/>
          <w:bCs/>
          <w:sz w:val="24"/>
          <w:szCs w:val="24"/>
        </w:rPr>
        <w:t>）</w:t>
      </w:r>
    </w:p>
    <w:p>
      <w:pPr>
        <w:jc w:val="right"/>
        <w:rPr>
          <w:b/>
          <w:snapToGrid w:val="0"/>
          <w:szCs w:val="21"/>
        </w:rPr>
      </w:pPr>
      <w:r>
        <w:rPr>
          <w:rFonts w:hint="eastAsia"/>
          <w:b/>
          <w:snapToGrid w:val="0"/>
          <w:szCs w:val="21"/>
        </w:rPr>
        <w:t>单位：m</w:t>
      </w:r>
      <w:r>
        <w:rPr>
          <w:b/>
          <w:snapToGrid w:val="0"/>
          <w:szCs w:val="21"/>
        </w:rPr>
        <w:t>g/L</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8"/>
        <w:gridCol w:w="1408"/>
        <w:gridCol w:w="1408"/>
        <w:gridCol w:w="140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pPr>
              <w:autoSpaceDE w:val="0"/>
              <w:snapToGrid w:val="0"/>
              <w:jc w:val="center"/>
              <w:rPr>
                <w:b/>
                <w:bCs/>
                <w:szCs w:val="21"/>
              </w:rPr>
            </w:pPr>
            <w:r>
              <w:rPr>
                <w:rFonts w:hint="eastAsia"/>
                <w:b/>
                <w:bCs/>
                <w:szCs w:val="21"/>
              </w:rPr>
              <w:t>项目</w:t>
            </w:r>
          </w:p>
        </w:tc>
        <w:tc>
          <w:tcPr>
            <w:tcW w:w="714" w:type="pct"/>
            <w:vAlign w:val="center"/>
          </w:tcPr>
          <w:p>
            <w:pPr>
              <w:autoSpaceDE w:val="0"/>
              <w:snapToGrid w:val="0"/>
              <w:jc w:val="center"/>
              <w:rPr>
                <w:b/>
                <w:bCs/>
                <w:szCs w:val="21"/>
              </w:rPr>
            </w:pPr>
            <w:r>
              <w:rPr>
                <w:rFonts w:hint="eastAsia"/>
                <w:b/>
                <w:bCs/>
                <w:szCs w:val="21"/>
              </w:rPr>
              <w:t>p</w:t>
            </w:r>
            <w:r>
              <w:rPr>
                <w:b/>
                <w:bCs/>
                <w:szCs w:val="21"/>
              </w:rPr>
              <w:t>H</w:t>
            </w:r>
          </w:p>
        </w:tc>
        <w:tc>
          <w:tcPr>
            <w:tcW w:w="714" w:type="pct"/>
            <w:vAlign w:val="center"/>
          </w:tcPr>
          <w:p>
            <w:pPr>
              <w:autoSpaceDE w:val="0"/>
              <w:snapToGrid w:val="0"/>
              <w:jc w:val="center"/>
              <w:rPr>
                <w:b/>
                <w:bCs/>
                <w:szCs w:val="21"/>
              </w:rPr>
            </w:pPr>
            <w:r>
              <w:rPr>
                <w:rFonts w:hint="eastAsia"/>
                <w:b/>
                <w:bCs/>
                <w:szCs w:val="21"/>
              </w:rPr>
              <w:t>C</w:t>
            </w:r>
            <w:r>
              <w:rPr>
                <w:b/>
                <w:bCs/>
                <w:szCs w:val="21"/>
              </w:rPr>
              <w:t>OD</w:t>
            </w:r>
          </w:p>
        </w:tc>
        <w:tc>
          <w:tcPr>
            <w:tcW w:w="714" w:type="pct"/>
            <w:vAlign w:val="center"/>
          </w:tcPr>
          <w:p>
            <w:pPr>
              <w:autoSpaceDE w:val="0"/>
              <w:snapToGrid w:val="0"/>
              <w:jc w:val="center"/>
              <w:rPr>
                <w:b/>
                <w:bCs/>
                <w:szCs w:val="21"/>
              </w:rPr>
            </w:pPr>
            <w:r>
              <w:rPr>
                <w:rFonts w:hint="eastAsia"/>
                <w:b/>
                <w:bCs/>
                <w:szCs w:val="21"/>
              </w:rPr>
              <w:t>B</w:t>
            </w:r>
            <w:r>
              <w:rPr>
                <w:b/>
                <w:bCs/>
                <w:szCs w:val="21"/>
              </w:rPr>
              <w:t>OD</w:t>
            </w:r>
            <w:r>
              <w:rPr>
                <w:b/>
                <w:bCs/>
                <w:szCs w:val="21"/>
                <w:vertAlign w:val="subscript"/>
              </w:rPr>
              <w:t>5</w:t>
            </w:r>
          </w:p>
        </w:tc>
        <w:tc>
          <w:tcPr>
            <w:tcW w:w="714" w:type="pct"/>
            <w:vAlign w:val="center"/>
          </w:tcPr>
          <w:p>
            <w:pPr>
              <w:autoSpaceDE w:val="0"/>
              <w:snapToGrid w:val="0"/>
              <w:jc w:val="center"/>
              <w:rPr>
                <w:b/>
                <w:bCs/>
                <w:szCs w:val="21"/>
              </w:rPr>
            </w:pPr>
            <w:r>
              <w:rPr>
                <w:rFonts w:hint="eastAsia"/>
                <w:b/>
                <w:bCs/>
                <w:szCs w:val="21"/>
              </w:rPr>
              <w:t>N</w:t>
            </w:r>
            <w:r>
              <w:rPr>
                <w:b/>
                <w:bCs/>
                <w:szCs w:val="21"/>
              </w:rPr>
              <w:t>H</w:t>
            </w:r>
            <w:r>
              <w:rPr>
                <w:b/>
                <w:bCs/>
                <w:szCs w:val="21"/>
                <w:vertAlign w:val="subscript"/>
              </w:rPr>
              <w:t>3</w:t>
            </w:r>
            <w:r>
              <w:rPr>
                <w:b/>
                <w:bCs/>
                <w:szCs w:val="21"/>
              </w:rPr>
              <w:t>-N</w:t>
            </w:r>
          </w:p>
        </w:tc>
        <w:tc>
          <w:tcPr>
            <w:tcW w:w="714" w:type="pct"/>
            <w:vAlign w:val="center"/>
          </w:tcPr>
          <w:p>
            <w:pPr>
              <w:autoSpaceDE w:val="0"/>
              <w:snapToGrid w:val="0"/>
              <w:jc w:val="center"/>
              <w:rPr>
                <w:b/>
                <w:bCs/>
                <w:szCs w:val="21"/>
              </w:rPr>
            </w:pPr>
            <w:r>
              <w:rPr>
                <w:rFonts w:hint="eastAsia"/>
                <w:b/>
                <w:bCs/>
                <w:szCs w:val="21"/>
              </w:rPr>
              <w:t>悬浮物</w:t>
            </w:r>
          </w:p>
        </w:tc>
        <w:tc>
          <w:tcPr>
            <w:tcW w:w="714" w:type="pct"/>
            <w:vAlign w:val="center"/>
          </w:tcPr>
          <w:p>
            <w:pPr>
              <w:autoSpaceDE w:val="0"/>
              <w:snapToGrid w:val="0"/>
              <w:jc w:val="center"/>
              <w:rPr>
                <w:b/>
                <w:bCs/>
                <w:szCs w:val="21"/>
              </w:rPr>
            </w:pPr>
            <w:r>
              <w:rPr>
                <w:rFonts w:hint="eastAsia"/>
                <w:b/>
                <w:bCs/>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pPr>
              <w:autoSpaceDE w:val="0"/>
              <w:snapToGrid w:val="0"/>
              <w:jc w:val="center"/>
              <w:rPr>
                <w:szCs w:val="21"/>
              </w:rPr>
            </w:pPr>
            <w:r>
              <w:rPr>
                <w:rFonts w:hint="eastAsia"/>
                <w:szCs w:val="21"/>
              </w:rPr>
              <w:t>一级标准</w:t>
            </w:r>
          </w:p>
        </w:tc>
        <w:tc>
          <w:tcPr>
            <w:tcW w:w="714" w:type="pct"/>
            <w:vAlign w:val="center"/>
          </w:tcPr>
          <w:p>
            <w:pPr>
              <w:autoSpaceDE w:val="0"/>
              <w:snapToGrid w:val="0"/>
              <w:jc w:val="center"/>
              <w:rPr>
                <w:szCs w:val="21"/>
              </w:rPr>
            </w:pPr>
            <w:r>
              <w:rPr>
                <w:rFonts w:hint="eastAsia"/>
                <w:szCs w:val="21"/>
              </w:rPr>
              <w:t>6~</w:t>
            </w:r>
            <w:r>
              <w:rPr>
                <w:szCs w:val="21"/>
              </w:rPr>
              <w:t>9</w:t>
            </w:r>
          </w:p>
          <w:p>
            <w:pPr>
              <w:autoSpaceDE w:val="0"/>
              <w:snapToGrid w:val="0"/>
              <w:jc w:val="center"/>
              <w:rPr>
                <w:szCs w:val="21"/>
              </w:rPr>
            </w:pPr>
            <w:r>
              <w:rPr>
                <w:rFonts w:hint="eastAsia"/>
                <w:szCs w:val="21"/>
              </w:rPr>
              <w:t>(无量纲)</w:t>
            </w:r>
          </w:p>
        </w:tc>
        <w:tc>
          <w:tcPr>
            <w:tcW w:w="714" w:type="pct"/>
            <w:vAlign w:val="center"/>
          </w:tcPr>
          <w:p>
            <w:pPr>
              <w:autoSpaceDE w:val="0"/>
              <w:snapToGrid w:val="0"/>
              <w:jc w:val="center"/>
              <w:rPr>
                <w:szCs w:val="21"/>
              </w:rPr>
            </w:pPr>
            <w:r>
              <w:rPr>
                <w:rFonts w:hint="eastAsia"/>
                <w:szCs w:val="21"/>
              </w:rPr>
              <w:t>1</w:t>
            </w:r>
            <w:r>
              <w:rPr>
                <w:szCs w:val="21"/>
              </w:rPr>
              <w:t>00</w:t>
            </w:r>
          </w:p>
        </w:tc>
        <w:tc>
          <w:tcPr>
            <w:tcW w:w="714" w:type="pct"/>
            <w:vAlign w:val="center"/>
          </w:tcPr>
          <w:p>
            <w:pPr>
              <w:autoSpaceDE w:val="0"/>
              <w:snapToGrid w:val="0"/>
              <w:jc w:val="center"/>
              <w:rPr>
                <w:szCs w:val="21"/>
              </w:rPr>
            </w:pPr>
            <w:r>
              <w:rPr>
                <w:rFonts w:hint="eastAsia"/>
                <w:szCs w:val="21"/>
              </w:rPr>
              <w:t>2</w:t>
            </w:r>
            <w:r>
              <w:rPr>
                <w:szCs w:val="21"/>
              </w:rPr>
              <w:t>0</w:t>
            </w:r>
          </w:p>
        </w:tc>
        <w:tc>
          <w:tcPr>
            <w:tcW w:w="714" w:type="pct"/>
            <w:vAlign w:val="center"/>
          </w:tcPr>
          <w:p>
            <w:pPr>
              <w:autoSpaceDE w:val="0"/>
              <w:snapToGrid w:val="0"/>
              <w:jc w:val="center"/>
              <w:rPr>
                <w:szCs w:val="21"/>
              </w:rPr>
            </w:pPr>
            <w:r>
              <w:rPr>
                <w:rFonts w:hint="eastAsia"/>
                <w:szCs w:val="21"/>
              </w:rPr>
              <w:t>1</w:t>
            </w:r>
            <w:r>
              <w:rPr>
                <w:szCs w:val="21"/>
              </w:rPr>
              <w:t>5</w:t>
            </w:r>
          </w:p>
        </w:tc>
        <w:tc>
          <w:tcPr>
            <w:tcW w:w="714" w:type="pct"/>
            <w:vAlign w:val="center"/>
          </w:tcPr>
          <w:p>
            <w:pPr>
              <w:autoSpaceDE w:val="0"/>
              <w:snapToGrid w:val="0"/>
              <w:jc w:val="center"/>
              <w:rPr>
                <w:szCs w:val="21"/>
              </w:rPr>
            </w:pPr>
            <w:r>
              <w:rPr>
                <w:rFonts w:hint="eastAsia"/>
                <w:szCs w:val="21"/>
              </w:rPr>
              <w:t>7</w:t>
            </w:r>
            <w:r>
              <w:rPr>
                <w:szCs w:val="21"/>
              </w:rPr>
              <w:t>0</w:t>
            </w:r>
          </w:p>
        </w:tc>
        <w:tc>
          <w:tcPr>
            <w:tcW w:w="714" w:type="pct"/>
            <w:vAlign w:val="center"/>
          </w:tcPr>
          <w:p>
            <w:pPr>
              <w:autoSpaceDE w:val="0"/>
              <w:snapToGrid w:val="0"/>
              <w:jc w:val="center"/>
              <w:rPr>
                <w:szCs w:val="21"/>
              </w:rPr>
            </w:pPr>
            <w:r>
              <w:rPr>
                <w:rFonts w:hint="eastAsia"/>
                <w:szCs w:val="21"/>
              </w:rPr>
              <w:t>1</w:t>
            </w:r>
            <w:r>
              <w:rPr>
                <w:szCs w:val="21"/>
              </w:rPr>
              <w:t>0</w:t>
            </w:r>
          </w:p>
        </w:tc>
      </w:tr>
    </w:tbl>
    <w:p>
      <w:pPr>
        <w:ind w:firstLine="602"/>
        <w:rPr>
          <w:rStyle w:val="105"/>
          <w:rFonts w:eastAsiaTheme="minorEastAsia"/>
          <w:sz w:val="30"/>
          <w:szCs w:val="30"/>
        </w:rPr>
      </w:pPr>
      <w:r>
        <w:rPr>
          <w:rStyle w:val="105"/>
          <w:rFonts w:eastAsiaTheme="minorEastAsia"/>
          <w:sz w:val="30"/>
          <w:szCs w:val="30"/>
        </w:rPr>
        <w:br w:type="page"/>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Style w:val="105"/>
          <w:rFonts w:eastAsiaTheme="minorEastAsia"/>
          <w:sz w:val="24"/>
          <w:szCs w:val="24"/>
        </w:rPr>
      </w:pPr>
      <w:r>
        <w:rPr>
          <w:rStyle w:val="105"/>
          <w:rFonts w:eastAsiaTheme="minorEastAsia"/>
          <w:sz w:val="24"/>
          <w:szCs w:val="24"/>
        </w:rPr>
        <w:t>3、评价等级、评价范围和评价时段</w:t>
      </w:r>
    </w:p>
    <w:bookmarkEnd w:id="69"/>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ascii="Times New Roman" w:hAnsi="Times New Roman" w:eastAsiaTheme="minorEastAsia"/>
          <w:sz w:val="24"/>
          <w:szCs w:val="24"/>
        </w:rPr>
      </w:pPr>
      <w:bookmarkStart w:id="70" w:name="_Toc25667"/>
      <w:r>
        <w:rPr>
          <w:rStyle w:val="106"/>
          <w:rFonts w:ascii="Times New Roman" w:hAnsi="Times New Roman" w:eastAsiaTheme="minorEastAsia"/>
          <w:sz w:val="24"/>
          <w:szCs w:val="24"/>
        </w:rPr>
        <w:t>3.1地表水环境</w:t>
      </w:r>
    </w:p>
    <w:bookmarkEnd w:id="70"/>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Theme="minorEastAsia"/>
          <w:b/>
          <w:bCs/>
          <w:sz w:val="24"/>
          <w:szCs w:val="24"/>
        </w:rPr>
      </w:pPr>
      <w:r>
        <w:rPr>
          <w:rFonts w:eastAsiaTheme="minorEastAsia"/>
          <w:b/>
          <w:bCs/>
          <w:sz w:val="24"/>
          <w:szCs w:val="24"/>
        </w:rPr>
        <w:t>3.1.1地表水环境评价等级</w:t>
      </w:r>
    </w:p>
    <w:p>
      <w:pPr>
        <w:pStyle w:val="10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eastAsiaTheme="minorEastAsia"/>
          <w:sz w:val="24"/>
          <w:szCs w:val="24"/>
        </w:rPr>
      </w:pPr>
      <w:r>
        <w:rPr>
          <w:rFonts w:ascii="Times New Roman" w:hAnsi="Times New Roman" w:cs="Times New Roman" w:eastAsiaTheme="minorEastAsia"/>
          <w:sz w:val="24"/>
          <w:szCs w:val="24"/>
        </w:rPr>
        <w:t>评价项目运营期产生的废水量Q为</w:t>
      </w:r>
      <w:r>
        <w:rPr>
          <w:rFonts w:hint="eastAsia" w:ascii="Times New Roman" w:hAnsi="Times New Roman" w:cs="Times New Roman" w:eastAsiaTheme="minorEastAsia"/>
          <w:sz w:val="24"/>
          <w:szCs w:val="24"/>
          <w:lang w:val="en-US" w:eastAsia="zh-CN"/>
        </w:rPr>
        <w:t>45.961</w:t>
      </w:r>
      <w:r>
        <w:rPr>
          <w:rFonts w:ascii="Times New Roman" w:hAnsi="Times New Roman" w:cs="Times New Roman" w:eastAsiaTheme="minorEastAsia"/>
          <w:sz w:val="24"/>
          <w:szCs w:val="24"/>
        </w:rPr>
        <w:t>m</w:t>
      </w:r>
      <w:r>
        <w:rPr>
          <w:rFonts w:ascii="Times New Roman" w:hAnsi="Times New Roman" w:cs="Times New Roman" w:eastAsiaTheme="minorEastAsia"/>
          <w:kern w:val="0"/>
          <w:sz w:val="24"/>
          <w:szCs w:val="24"/>
          <w:vertAlign w:val="superscript"/>
          <w:lang w:bidi="en-US"/>
        </w:rPr>
        <w:t>3</w:t>
      </w:r>
      <w:r>
        <w:rPr>
          <w:rFonts w:ascii="Times New Roman" w:hAnsi="Times New Roman" w:cs="Times New Roman" w:eastAsiaTheme="minorEastAsia"/>
          <w:kern w:val="0"/>
          <w:sz w:val="24"/>
          <w:szCs w:val="24"/>
          <w:lang w:bidi="en-US"/>
        </w:rPr>
        <w:t>/d</w:t>
      </w:r>
      <w:r>
        <w:rPr>
          <w:rFonts w:ascii="Times New Roman" w:hAnsi="Times New Roman" w:cs="Times New Roman" w:eastAsiaTheme="minorEastAsia"/>
          <w:sz w:val="24"/>
          <w:szCs w:val="24"/>
        </w:rPr>
        <w:t>，Q</w:t>
      </w:r>
      <w:r>
        <w:rPr>
          <w:rFonts w:hint="eastAsia" w:ascii="Times New Roman" w:hAnsi="Times New Roman" w:cs="Times New Roman" w:eastAsiaTheme="minorEastAsia"/>
          <w:sz w:val="24"/>
          <w:szCs w:val="24"/>
          <w:lang w:val="en-US" w:eastAsia="zh-CN"/>
        </w:rPr>
        <w:t>＜</w:t>
      </w:r>
      <w:r>
        <w:rPr>
          <w:rFonts w:ascii="Times New Roman" w:hAnsi="Times New Roman" w:cs="Times New Roman" w:eastAsiaTheme="minorEastAsia"/>
          <w:sz w:val="24"/>
          <w:szCs w:val="24"/>
        </w:rPr>
        <w:t>200 m</w:t>
      </w:r>
      <w:r>
        <w:rPr>
          <w:rFonts w:ascii="Times New Roman" w:hAnsi="Times New Roman" w:cs="Times New Roman" w:eastAsiaTheme="minorEastAsia"/>
          <w:kern w:val="0"/>
          <w:sz w:val="24"/>
          <w:szCs w:val="24"/>
          <w:vertAlign w:val="superscript"/>
          <w:lang w:bidi="en-US"/>
        </w:rPr>
        <w:t>3</w:t>
      </w:r>
      <w:r>
        <w:rPr>
          <w:rFonts w:ascii="Times New Roman" w:hAnsi="Times New Roman" w:cs="Times New Roman" w:eastAsiaTheme="minorEastAsia"/>
          <w:kern w:val="0"/>
          <w:sz w:val="24"/>
          <w:szCs w:val="24"/>
          <w:lang w:bidi="en-US"/>
        </w:rPr>
        <w:t>/d，</w:t>
      </w:r>
      <w:r>
        <w:rPr>
          <w:rFonts w:hint="eastAsia" w:ascii="Times New Roman" w:hAnsi="Times New Roman" w:cs="Times New Roman" w:eastAsiaTheme="minorEastAsia"/>
          <w:kern w:val="0"/>
          <w:sz w:val="24"/>
          <w:szCs w:val="24"/>
          <w:lang w:bidi="en-US"/>
        </w:rPr>
        <w:t>废水中不含第一类污染物，</w:t>
      </w:r>
      <w:r>
        <w:rPr>
          <w:rFonts w:ascii="Times New Roman" w:hAnsi="Times New Roman" w:cs="Times New Roman" w:eastAsiaTheme="minorEastAsia"/>
          <w:kern w:val="0"/>
          <w:sz w:val="24"/>
          <w:szCs w:val="24"/>
          <w:lang w:bidi="en-US"/>
        </w:rPr>
        <w:t>主要水污染物排放当量小于6000</w:t>
      </w:r>
      <w:r>
        <w:rPr>
          <w:rFonts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eastAsiaTheme="minorEastAsia"/>
          <w:sz w:val="24"/>
          <w:szCs w:val="24"/>
        </w:rPr>
      </w:pPr>
      <w:r>
        <w:rPr>
          <w:rFonts w:eastAsiaTheme="minorEastAsia"/>
          <w:sz w:val="24"/>
          <w:szCs w:val="24"/>
        </w:rPr>
        <w:t>依据《环境影响评价技术导则 地表水环境》（HJ2.3-2018），项目属水污染影响型建设项目，废水排放方式为直接排放，因此本评价确定地表水环境评价工作等级为</w:t>
      </w:r>
      <w:r>
        <w:rPr>
          <w:rFonts w:hint="eastAsia" w:eastAsiaTheme="minorEastAsia"/>
          <w:sz w:val="24"/>
          <w:szCs w:val="24"/>
          <w:lang w:val="en-US" w:eastAsia="zh-CN"/>
        </w:rPr>
        <w:t>三级A</w:t>
      </w:r>
      <w:r>
        <w:rPr>
          <w:rFonts w:eastAsiaTheme="minorEastAsia"/>
          <w:sz w:val="24"/>
          <w:szCs w:val="24"/>
        </w:rPr>
        <w:t>，</w:t>
      </w:r>
      <w:r>
        <w:rPr>
          <w:rFonts w:hint="eastAsia" w:eastAsiaTheme="minorEastAsia"/>
          <w:sz w:val="24"/>
          <w:szCs w:val="24"/>
          <w:lang w:val="en-US" w:eastAsia="zh-CN"/>
        </w:rPr>
        <w:t>水污染物排放当量计算见表3.1-1，</w:t>
      </w:r>
      <w:r>
        <w:rPr>
          <w:rFonts w:eastAsiaTheme="minorEastAsia"/>
          <w:sz w:val="24"/>
          <w:szCs w:val="24"/>
        </w:rPr>
        <w:t>评价等级判定见下</w:t>
      </w:r>
      <w:r>
        <w:rPr>
          <w:rFonts w:hint="eastAsia" w:eastAsiaTheme="minorEastAsia"/>
          <w:sz w:val="24"/>
          <w:szCs w:val="24"/>
          <w:lang w:val="en-US" w:eastAsia="zh-CN"/>
        </w:rPr>
        <w:t>,3.1-2</w:t>
      </w:r>
      <w:r>
        <w:rPr>
          <w:rFonts w:eastAsiaTheme="minorEastAsia"/>
          <w:sz w:val="24"/>
          <w:szCs w:val="24"/>
        </w:rPr>
        <w:t>：</w:t>
      </w:r>
    </w:p>
    <w:p>
      <w:pPr>
        <w:widowControl/>
        <w:ind w:firstLine="480"/>
        <w:jc w:val="center"/>
        <w:rPr>
          <w:rFonts w:hint="eastAsia" w:eastAsiaTheme="minorEastAsia"/>
          <w:kern w:val="0"/>
          <w:sz w:val="24"/>
          <w:szCs w:val="24"/>
          <w:lang w:val="en-US" w:eastAsia="zh-CN"/>
        </w:rPr>
      </w:pPr>
      <w:r>
        <w:rPr>
          <w:rFonts w:eastAsiaTheme="minorEastAsia"/>
          <w:kern w:val="0"/>
          <w:sz w:val="24"/>
          <w:szCs w:val="24"/>
        </w:rPr>
        <w:t xml:space="preserve">表3.1-1 </w:t>
      </w:r>
      <w:r>
        <w:rPr>
          <w:rFonts w:hint="eastAsia" w:eastAsiaTheme="minorEastAsia"/>
          <w:kern w:val="0"/>
          <w:sz w:val="24"/>
          <w:szCs w:val="24"/>
          <w:lang w:val="en-US" w:eastAsia="zh-CN"/>
        </w:rPr>
        <w:t>当量计算结果</w:t>
      </w:r>
    </w:p>
    <w:tbl>
      <w:tblPr>
        <w:tblStyle w:val="110"/>
        <w:tblW w:w="83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05"/>
        <w:gridCol w:w="2039"/>
        <w:gridCol w:w="1556"/>
        <w:gridCol w:w="1632"/>
        <w:gridCol w:w="1143"/>
        <w:gridCol w:w="1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23" w:hRule="exact"/>
          <w:jc w:val="center"/>
        </w:trPr>
        <w:tc>
          <w:tcPr>
            <w:tcW w:w="80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039"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w:t>
            </w:r>
          </w:p>
        </w:tc>
        <w:tc>
          <w:tcPr>
            <w:tcW w:w="1556"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年排放量（kg/a）</w:t>
            </w:r>
          </w:p>
        </w:tc>
        <w:tc>
          <w:tcPr>
            <w:tcW w:w="1632"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污染当量值（kg）</w:t>
            </w:r>
          </w:p>
        </w:tc>
        <w:tc>
          <w:tcPr>
            <w:tcW w:w="1143"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w:t>
            </w:r>
          </w:p>
        </w:tc>
        <w:tc>
          <w:tcPr>
            <w:tcW w:w="119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15" w:hRule="exact"/>
          <w:jc w:val="center"/>
        </w:trPr>
        <w:tc>
          <w:tcPr>
            <w:tcW w:w="80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2039"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悬浮物（SS）</w:t>
            </w:r>
          </w:p>
        </w:tc>
        <w:tc>
          <w:tcPr>
            <w:tcW w:w="1556"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305</w:t>
            </w:r>
          </w:p>
        </w:tc>
        <w:tc>
          <w:tcPr>
            <w:tcW w:w="1632"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1143"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76.25</w:t>
            </w:r>
          </w:p>
        </w:tc>
        <w:tc>
          <w:tcPr>
            <w:tcW w:w="1195" w:type="dxa"/>
            <w:vMerge w:val="restart"/>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三级A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15" w:hRule="exact"/>
          <w:jc w:val="center"/>
        </w:trPr>
        <w:tc>
          <w:tcPr>
            <w:tcW w:w="80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2039"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化学需氧量（CODcr）</w:t>
            </w:r>
          </w:p>
        </w:tc>
        <w:tc>
          <w:tcPr>
            <w:tcW w:w="1556"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1518</w:t>
            </w:r>
          </w:p>
        </w:tc>
        <w:tc>
          <w:tcPr>
            <w:tcW w:w="1632"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1143"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1518</w:t>
            </w:r>
          </w:p>
        </w:tc>
        <w:tc>
          <w:tcPr>
            <w:tcW w:w="1195" w:type="dxa"/>
            <w:vMerge w:val="continue"/>
            <w:vAlign w:val="center"/>
          </w:tcPr>
          <w:p>
            <w:pPr>
              <w:spacing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616" w:hRule="exact"/>
          <w:jc w:val="center"/>
        </w:trPr>
        <w:tc>
          <w:tcPr>
            <w:tcW w:w="80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2039"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五日生化需氧量(BOD5)</w:t>
            </w:r>
          </w:p>
        </w:tc>
        <w:tc>
          <w:tcPr>
            <w:tcW w:w="1556"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296</w:t>
            </w:r>
          </w:p>
        </w:tc>
        <w:tc>
          <w:tcPr>
            <w:tcW w:w="1632"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w:t>
            </w:r>
          </w:p>
        </w:tc>
        <w:tc>
          <w:tcPr>
            <w:tcW w:w="1143"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592</w:t>
            </w:r>
          </w:p>
        </w:tc>
        <w:tc>
          <w:tcPr>
            <w:tcW w:w="1195" w:type="dxa"/>
            <w:vMerge w:val="continue"/>
            <w:vAlign w:val="center"/>
          </w:tcPr>
          <w:p>
            <w:pPr>
              <w:spacing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15" w:hRule="exact"/>
          <w:jc w:val="center"/>
        </w:trPr>
        <w:tc>
          <w:tcPr>
            <w:tcW w:w="805"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2039"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氨氮</w:t>
            </w:r>
          </w:p>
        </w:tc>
        <w:tc>
          <w:tcPr>
            <w:tcW w:w="1556"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86</w:t>
            </w:r>
          </w:p>
        </w:tc>
        <w:tc>
          <w:tcPr>
            <w:tcW w:w="1632" w:type="dxa"/>
            <w:vAlign w:val="center"/>
          </w:tcPr>
          <w:p>
            <w:pPr>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0.8</w:t>
            </w:r>
          </w:p>
        </w:tc>
        <w:tc>
          <w:tcPr>
            <w:tcW w:w="1143" w:type="dxa"/>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107.5</w:t>
            </w:r>
          </w:p>
        </w:tc>
        <w:tc>
          <w:tcPr>
            <w:tcW w:w="1195" w:type="dxa"/>
            <w:vMerge w:val="continue"/>
            <w:vAlign w:val="center"/>
          </w:tcPr>
          <w:p>
            <w:pPr>
              <w:spacing w:line="240" w:lineRule="auto"/>
              <w:ind w:firstLine="0" w:firstLineChars="0"/>
              <w:jc w:val="center"/>
              <w:rPr>
                <w:rFonts w:ascii="Times New Roman" w:hAnsi="Times New Roman" w:cs="Times New Roman" w:eastAsiaTheme="minorEastAsia"/>
                <w:sz w:val="21"/>
                <w:szCs w:val="21"/>
              </w:rPr>
            </w:pPr>
          </w:p>
        </w:tc>
      </w:tr>
    </w:tbl>
    <w:p>
      <w:pPr>
        <w:widowControl/>
        <w:ind w:firstLine="480"/>
        <w:jc w:val="center"/>
        <w:rPr>
          <w:rFonts w:eastAsiaTheme="minorEastAsia"/>
          <w:kern w:val="0"/>
        </w:rPr>
      </w:pPr>
    </w:p>
    <w:p>
      <w:pPr>
        <w:widowControl/>
        <w:ind w:firstLine="480"/>
        <w:jc w:val="center"/>
        <w:rPr>
          <w:rFonts w:eastAsiaTheme="minorEastAsia"/>
          <w:kern w:val="0"/>
          <w:sz w:val="24"/>
          <w:szCs w:val="24"/>
        </w:rPr>
      </w:pPr>
      <w:r>
        <w:rPr>
          <w:rFonts w:eastAsiaTheme="minorEastAsia"/>
          <w:kern w:val="0"/>
          <w:sz w:val="24"/>
          <w:szCs w:val="24"/>
        </w:rPr>
        <w:t>表3.1-</w:t>
      </w:r>
      <w:r>
        <w:rPr>
          <w:rFonts w:hint="eastAsia" w:eastAsiaTheme="minorEastAsia"/>
          <w:kern w:val="0"/>
          <w:sz w:val="24"/>
          <w:szCs w:val="24"/>
          <w:lang w:val="en-US" w:eastAsia="zh-CN"/>
        </w:rPr>
        <w:t>2</w:t>
      </w:r>
      <w:r>
        <w:rPr>
          <w:rFonts w:eastAsiaTheme="minorEastAsia"/>
          <w:kern w:val="0"/>
          <w:sz w:val="24"/>
          <w:szCs w:val="24"/>
        </w:rPr>
        <w:t xml:space="preserve"> 地表水环境影响评价工作等级判定表</w:t>
      </w:r>
    </w:p>
    <w:tbl>
      <w:tblPr>
        <w:tblStyle w:val="3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349"/>
        <w:gridCol w:w="3160"/>
        <w:gridCol w:w="2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2" w:hRule="atLeast"/>
          <w:jc w:val="center"/>
        </w:trPr>
        <w:tc>
          <w:tcPr>
            <w:tcW w:w="1465" w:type="dxa"/>
            <w:vMerge w:val="restart"/>
            <w:noWrap/>
            <w:vAlign w:val="center"/>
          </w:tcPr>
          <w:p>
            <w:pPr>
              <w:spacing w:line="240" w:lineRule="auto"/>
              <w:ind w:firstLine="0" w:firstLineChars="0"/>
              <w:jc w:val="center"/>
              <w:rPr>
                <w:rFonts w:eastAsiaTheme="minorEastAsia"/>
                <w:b/>
                <w:sz w:val="21"/>
                <w:szCs w:val="21"/>
              </w:rPr>
            </w:pPr>
            <w:r>
              <w:rPr>
                <w:rFonts w:eastAsiaTheme="minorEastAsia"/>
                <w:b/>
                <w:sz w:val="21"/>
                <w:szCs w:val="21"/>
              </w:rPr>
              <w:t>评价等级</w:t>
            </w:r>
          </w:p>
        </w:tc>
        <w:tc>
          <w:tcPr>
            <w:tcW w:w="4509" w:type="dxa"/>
            <w:gridSpan w:val="2"/>
            <w:noWrap/>
            <w:vAlign w:val="center"/>
          </w:tcPr>
          <w:p>
            <w:pPr>
              <w:spacing w:line="240" w:lineRule="auto"/>
              <w:ind w:firstLine="0" w:firstLineChars="0"/>
              <w:jc w:val="center"/>
              <w:rPr>
                <w:rFonts w:eastAsiaTheme="minorEastAsia"/>
                <w:b/>
                <w:sz w:val="21"/>
                <w:szCs w:val="21"/>
              </w:rPr>
            </w:pPr>
            <w:r>
              <w:rPr>
                <w:rFonts w:eastAsiaTheme="minorEastAsia"/>
                <w:b/>
                <w:sz w:val="21"/>
                <w:szCs w:val="21"/>
              </w:rPr>
              <w:t>判定依据</w:t>
            </w:r>
          </w:p>
        </w:tc>
        <w:tc>
          <w:tcPr>
            <w:tcW w:w="2548" w:type="dxa"/>
            <w:vMerge w:val="restart"/>
            <w:noWrap/>
            <w:vAlign w:val="center"/>
          </w:tcPr>
          <w:p>
            <w:pPr>
              <w:spacing w:line="240" w:lineRule="auto"/>
              <w:ind w:firstLine="0" w:firstLineChars="0"/>
              <w:jc w:val="center"/>
              <w:rPr>
                <w:rFonts w:eastAsiaTheme="minorEastAsia"/>
                <w:b/>
                <w:sz w:val="21"/>
                <w:szCs w:val="21"/>
              </w:rPr>
            </w:pPr>
            <w:r>
              <w:rPr>
                <w:rFonts w:eastAsiaTheme="minorEastAsia"/>
                <w:b/>
                <w:sz w:val="21"/>
                <w:szCs w:val="21"/>
              </w:rPr>
              <w:t>本项目判定情况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65" w:type="dxa"/>
            <w:vMerge w:val="continue"/>
            <w:noWrap/>
            <w:vAlign w:val="center"/>
          </w:tcPr>
          <w:p>
            <w:pPr>
              <w:spacing w:line="240" w:lineRule="auto"/>
              <w:ind w:firstLine="0" w:firstLineChars="0"/>
              <w:jc w:val="center"/>
              <w:rPr>
                <w:rFonts w:eastAsiaTheme="minorEastAsia"/>
                <w:sz w:val="21"/>
                <w:szCs w:val="21"/>
              </w:rPr>
            </w:pPr>
          </w:p>
        </w:tc>
        <w:tc>
          <w:tcPr>
            <w:tcW w:w="1349"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排放方式</w:t>
            </w:r>
          </w:p>
        </w:tc>
        <w:tc>
          <w:tcPr>
            <w:tcW w:w="3160"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废水排放量Q/（m</w:t>
            </w:r>
            <w:r>
              <w:rPr>
                <w:rFonts w:eastAsiaTheme="minorEastAsia"/>
                <w:sz w:val="21"/>
                <w:szCs w:val="21"/>
                <w:vertAlign w:val="superscript"/>
              </w:rPr>
              <w:t>3</w:t>
            </w:r>
            <w:r>
              <w:rPr>
                <w:rFonts w:eastAsiaTheme="minorEastAsia"/>
                <w:sz w:val="21"/>
                <w:szCs w:val="21"/>
              </w:rPr>
              <w:t>/d）；</w:t>
            </w:r>
          </w:p>
          <w:p>
            <w:pPr>
              <w:spacing w:line="240" w:lineRule="auto"/>
              <w:ind w:firstLine="0" w:firstLineChars="0"/>
              <w:jc w:val="center"/>
              <w:rPr>
                <w:rFonts w:eastAsiaTheme="minorEastAsia"/>
                <w:sz w:val="21"/>
                <w:szCs w:val="21"/>
              </w:rPr>
            </w:pPr>
            <w:r>
              <w:rPr>
                <w:rFonts w:eastAsiaTheme="minorEastAsia"/>
                <w:sz w:val="21"/>
                <w:szCs w:val="21"/>
              </w:rPr>
              <w:t>水污染物当量数W/（无量纲）</w:t>
            </w:r>
          </w:p>
        </w:tc>
        <w:tc>
          <w:tcPr>
            <w:tcW w:w="2548" w:type="dxa"/>
            <w:vMerge w:val="continue"/>
            <w:noWrap/>
            <w:vAlign w:val="center"/>
          </w:tcPr>
          <w:p>
            <w:pPr>
              <w:spacing w:line="240" w:lineRule="auto"/>
              <w:ind w:firstLine="0" w:firstLineChars="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65"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一级</w:t>
            </w:r>
          </w:p>
        </w:tc>
        <w:tc>
          <w:tcPr>
            <w:tcW w:w="1349"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直接排放</w:t>
            </w:r>
          </w:p>
        </w:tc>
        <w:tc>
          <w:tcPr>
            <w:tcW w:w="3160"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Q≥20000或W≥600000</w:t>
            </w:r>
          </w:p>
        </w:tc>
        <w:tc>
          <w:tcPr>
            <w:tcW w:w="2548"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65"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二级</w:t>
            </w:r>
          </w:p>
        </w:tc>
        <w:tc>
          <w:tcPr>
            <w:tcW w:w="1349"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直接排放</w:t>
            </w:r>
          </w:p>
        </w:tc>
        <w:tc>
          <w:tcPr>
            <w:tcW w:w="3160"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其他</w:t>
            </w:r>
          </w:p>
        </w:tc>
        <w:tc>
          <w:tcPr>
            <w:tcW w:w="2548" w:type="dxa"/>
            <w:noWrap/>
            <w:vAlign w:val="center"/>
          </w:tcPr>
          <w:p>
            <w:pPr>
              <w:spacing w:line="240" w:lineRule="auto"/>
              <w:ind w:firstLine="0" w:firstLineChars="0"/>
              <w:jc w:val="center"/>
              <w:rPr>
                <w:rFonts w:eastAsiaTheme="minorEastAsia"/>
                <w:sz w:val="21"/>
                <w:szCs w:val="21"/>
              </w:rPr>
            </w:pPr>
            <w:r>
              <w:rPr>
                <w:rFonts w:eastAsiaTheme="minorEastAsia"/>
                <w:sz w:val="21"/>
              </w:rPr>
              <w:t>Q</w:t>
            </w:r>
            <w:r>
              <w:rPr>
                <w:rFonts w:hint="eastAsia" w:eastAsiaTheme="minorEastAsia"/>
                <w:sz w:val="21"/>
                <w:lang w:val="en-US" w:eastAsia="zh-CN"/>
              </w:rPr>
              <w:t>＜</w:t>
            </w:r>
            <w:r>
              <w:rPr>
                <w:rFonts w:eastAsiaTheme="minorEastAsia"/>
                <w:sz w:val="21"/>
              </w:rPr>
              <w:t>200 m</w:t>
            </w:r>
            <w:r>
              <w:rPr>
                <w:rFonts w:eastAsiaTheme="minorEastAsia"/>
                <w:kern w:val="0"/>
                <w:sz w:val="21"/>
                <w:vertAlign w:val="superscript"/>
                <w:lang w:bidi="en-US"/>
              </w:rPr>
              <w:t>3</w:t>
            </w:r>
            <w:r>
              <w:rPr>
                <w:rFonts w:eastAsiaTheme="minorEastAsia"/>
                <w:kern w:val="0"/>
                <w:sz w:val="21"/>
                <w:lang w:bidi="en-US"/>
              </w:rPr>
              <w:t>/d；W＜6000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65" w:type="dxa"/>
            <w:noWrap/>
            <w:vAlign w:val="center"/>
          </w:tcPr>
          <w:p>
            <w:pPr>
              <w:spacing w:line="240" w:lineRule="auto"/>
              <w:ind w:firstLine="0" w:firstLineChars="0"/>
              <w:jc w:val="center"/>
              <w:rPr>
                <w:rFonts w:eastAsiaTheme="minorEastAsia"/>
                <w:sz w:val="21"/>
              </w:rPr>
            </w:pPr>
            <w:r>
              <w:rPr>
                <w:rFonts w:eastAsiaTheme="minorEastAsia"/>
                <w:sz w:val="21"/>
                <w:szCs w:val="21"/>
              </w:rPr>
              <w:t>三级</w:t>
            </w:r>
            <w:r>
              <w:rPr>
                <w:rFonts w:eastAsiaTheme="minorEastAsia"/>
                <w:sz w:val="21"/>
              </w:rPr>
              <w:t>A</w:t>
            </w:r>
          </w:p>
        </w:tc>
        <w:tc>
          <w:tcPr>
            <w:tcW w:w="1349"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直接排放</w:t>
            </w:r>
          </w:p>
        </w:tc>
        <w:tc>
          <w:tcPr>
            <w:tcW w:w="3160"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Q＜200或W＜6000</w:t>
            </w:r>
          </w:p>
        </w:tc>
        <w:tc>
          <w:tcPr>
            <w:tcW w:w="2548"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65"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三级B</w:t>
            </w:r>
          </w:p>
        </w:tc>
        <w:tc>
          <w:tcPr>
            <w:tcW w:w="1349"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间接排放</w:t>
            </w:r>
          </w:p>
        </w:tc>
        <w:tc>
          <w:tcPr>
            <w:tcW w:w="3160"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2548" w:type="dxa"/>
            <w:noWrap/>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3.1.2地表水评价范围和保护目标</w:t>
      </w:r>
    </w:p>
    <w:p>
      <w:pPr>
        <w:pStyle w:val="10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根据《环境影响评价技术导则 地表水环境》（HJ2.3-2018），项目地表水水环境影响评价范围定为：</w:t>
      </w:r>
    </w:p>
    <w:p>
      <w:pPr>
        <w:pStyle w:val="10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黄蜡河</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排污口</w:t>
      </w:r>
      <w:r>
        <w:rPr>
          <w:rFonts w:ascii="Times New Roman" w:hAnsi="Times New Roman" w:cs="Times New Roman" w:eastAsiaTheme="minorEastAsia"/>
          <w:sz w:val="24"/>
          <w:szCs w:val="24"/>
        </w:rPr>
        <w:t>上游</w:t>
      </w:r>
      <w:r>
        <w:rPr>
          <w:rFonts w:hint="eastAsia" w:ascii="Times New Roman" w:hAnsi="Times New Roman" w:cs="Times New Roman" w:eastAsiaTheme="minorEastAsia"/>
          <w:sz w:val="24"/>
          <w:szCs w:val="24"/>
          <w:lang w:val="en-US" w:eastAsia="zh-CN"/>
        </w:rPr>
        <w:t>5</w:t>
      </w:r>
      <w:r>
        <w:rPr>
          <w:rFonts w:ascii="Times New Roman" w:hAnsi="Times New Roman" w:cs="Times New Roman" w:eastAsiaTheme="minorEastAsia"/>
          <w:sz w:val="24"/>
          <w:szCs w:val="24"/>
        </w:rPr>
        <w:t>00m至下游</w:t>
      </w:r>
      <w:r>
        <w:rPr>
          <w:rFonts w:hint="eastAsia" w:ascii="Times New Roman" w:hAnsi="Times New Roman" w:cs="Times New Roman" w:eastAsiaTheme="minorEastAsia"/>
          <w:sz w:val="24"/>
          <w:szCs w:val="24"/>
          <w:lang w:val="en-US" w:eastAsia="zh-CN"/>
        </w:rPr>
        <w:t>2</w:t>
      </w:r>
      <w:r>
        <w:rPr>
          <w:rFonts w:hint="eastAsia" w:ascii="Times New Roman" w:hAnsi="Times New Roman" w:cs="Times New Roman" w:eastAsiaTheme="minorEastAsia"/>
          <w:sz w:val="24"/>
          <w:szCs w:val="24"/>
        </w:rPr>
        <w:t>.5</w:t>
      </w:r>
      <w:r>
        <w:rPr>
          <w:rFonts w:ascii="Times New Roman" w:hAnsi="Times New Roman" w:cs="Times New Roman" w:eastAsiaTheme="minorEastAsia"/>
          <w:sz w:val="24"/>
          <w:szCs w:val="24"/>
        </w:rPr>
        <w:t>km，约</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km河段</w:t>
      </w:r>
      <w:r>
        <w:rPr>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覆盖项目污染影响所及水域以及</w:t>
      </w:r>
      <w:r>
        <w:rPr>
          <w:rFonts w:hint="eastAsia" w:ascii="Times New Roman" w:hAnsi="Times New Roman" w:cs="Times New Roman" w:eastAsiaTheme="minorEastAsia"/>
          <w:sz w:val="24"/>
          <w:szCs w:val="24"/>
        </w:rPr>
        <w:t>对照</w:t>
      </w:r>
      <w:r>
        <w:rPr>
          <w:rFonts w:ascii="Times New Roman" w:hAnsi="Times New Roman" w:cs="Times New Roman" w:eastAsiaTheme="minorEastAsia"/>
          <w:sz w:val="24"/>
          <w:szCs w:val="24"/>
        </w:rPr>
        <w:t>断面</w:t>
      </w:r>
      <w:r>
        <w:rPr>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控制断面与消减断面等关心断面要求。</w:t>
      </w:r>
    </w:p>
    <w:p>
      <w:pPr>
        <w:pStyle w:val="10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eastAsiaTheme="minorEastAsia"/>
          <w:sz w:val="24"/>
          <w:szCs w:val="24"/>
        </w:rPr>
      </w:pPr>
      <w:r>
        <w:rPr>
          <w:rFonts w:ascii="Times New Roman" w:hAnsi="Times New Roman"/>
          <w:sz w:val="24"/>
          <w:szCs w:val="24"/>
        </w:rPr>
        <w:t>项目</w:t>
      </w:r>
      <w:r>
        <w:rPr>
          <w:rFonts w:hint="eastAsia" w:ascii="Times New Roman" w:hAnsi="Times New Roman"/>
          <w:sz w:val="24"/>
          <w:szCs w:val="24"/>
        </w:rPr>
        <w:t>评价范围内无取水口等地表水水源保护目标</w:t>
      </w:r>
      <w:r>
        <w:rPr>
          <w:rFonts w:hint="eastAsia"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3.1.3地表水评价时段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 xml:space="preserve"> 根据《环境影响评价技术导则 地表水环境》（HJ2.3-2018），地表水三级A评价的评价时段为至少枯水期，因此本次地表水评价时段为枯水期。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hint="eastAsia"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3.2地表水环境质量现状</w:t>
      </w:r>
    </w:p>
    <w:p>
      <w:pPr>
        <w:pStyle w:val="111"/>
        <w:rPr>
          <w:rStyle w:val="106"/>
          <w:rFonts w:hint="eastAsia" w:ascii="Times New Roman" w:hAnsi="Times New Roman" w:cs="Times New Roman" w:eastAsiaTheme="minorEastAsia"/>
          <w:sz w:val="24"/>
          <w:szCs w:val="24"/>
          <w:lang w:val="en-US" w:eastAsia="zh-CN"/>
        </w:rPr>
      </w:pPr>
    </w:p>
    <w:p>
      <w:pPr>
        <w:keepNext w:val="0"/>
        <w:keepLines w:val="0"/>
        <w:pageBreakBefore w:val="0"/>
        <w:widowControl w:val="0"/>
        <w:tabs>
          <w:tab w:val="left" w:pos="62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sz w:val="24"/>
        </w:rPr>
        <w:t>本</w:t>
      </w:r>
      <w:r>
        <w:rPr>
          <w:rFonts w:hint="eastAsia"/>
          <w:color w:val="auto"/>
          <w:sz w:val="24"/>
          <w:szCs w:val="24"/>
          <w:highlight w:val="none"/>
          <w:u w:val="none"/>
          <w:lang w:eastAsia="zh-CN"/>
        </w:rPr>
        <w:t>本项目距离项目最近的地表水体为项目</w:t>
      </w:r>
      <w:r>
        <w:rPr>
          <w:rFonts w:hint="eastAsia"/>
          <w:color w:val="auto"/>
          <w:sz w:val="24"/>
          <w:szCs w:val="24"/>
          <w:highlight w:val="none"/>
          <w:u w:val="none"/>
          <w:lang w:val="en-US" w:eastAsia="zh-CN"/>
        </w:rPr>
        <w:t>东</w:t>
      </w:r>
      <w:r>
        <w:rPr>
          <w:rFonts w:hint="eastAsia"/>
          <w:color w:val="auto"/>
          <w:sz w:val="24"/>
          <w:szCs w:val="24"/>
          <w:highlight w:val="none"/>
          <w:u w:val="none"/>
          <w:lang w:eastAsia="zh-CN"/>
        </w:rPr>
        <w:t>面</w:t>
      </w:r>
      <w:r>
        <w:rPr>
          <w:rFonts w:hint="eastAsia"/>
          <w:color w:val="auto"/>
          <w:sz w:val="24"/>
          <w:szCs w:val="24"/>
          <w:highlight w:val="none"/>
          <w:u w:val="none"/>
          <w:lang w:val="en-US" w:eastAsia="zh-CN"/>
        </w:rPr>
        <w:t>15m处的黄蜡河。</w:t>
      </w:r>
      <w:r>
        <w:rPr>
          <w:color w:val="auto"/>
          <w:sz w:val="24"/>
          <w:szCs w:val="24"/>
          <w:highlight w:val="none"/>
          <w:u w:val="none"/>
        </w:rPr>
        <w:t>据柳州市生态环境局公布的《20</w:t>
      </w:r>
      <w:r>
        <w:rPr>
          <w:rFonts w:hint="eastAsia"/>
          <w:color w:val="auto"/>
          <w:sz w:val="24"/>
          <w:szCs w:val="24"/>
          <w:highlight w:val="none"/>
          <w:u w:val="none"/>
          <w:lang w:val="en-US" w:eastAsia="zh-CN"/>
        </w:rPr>
        <w:t>22</w:t>
      </w:r>
      <w:r>
        <w:rPr>
          <w:color w:val="auto"/>
          <w:sz w:val="24"/>
          <w:szCs w:val="24"/>
          <w:highlight w:val="none"/>
          <w:u w:val="none"/>
        </w:rPr>
        <w:t>年</w:t>
      </w:r>
      <w:r>
        <w:rPr>
          <w:rFonts w:hint="eastAsia"/>
          <w:color w:val="auto"/>
          <w:sz w:val="24"/>
          <w:szCs w:val="24"/>
          <w:highlight w:val="none"/>
          <w:u w:val="none"/>
          <w:lang w:eastAsia="zh-CN"/>
        </w:rPr>
        <w:t>柳州市生态</w:t>
      </w:r>
      <w:r>
        <w:rPr>
          <w:color w:val="auto"/>
          <w:sz w:val="24"/>
          <w:szCs w:val="24"/>
          <w:highlight w:val="none"/>
          <w:u w:val="none"/>
        </w:rPr>
        <w:t>环境</w:t>
      </w:r>
      <w:r>
        <w:rPr>
          <w:rFonts w:hint="eastAsia"/>
          <w:color w:val="auto"/>
          <w:sz w:val="24"/>
          <w:szCs w:val="24"/>
          <w:highlight w:val="none"/>
          <w:u w:val="none"/>
          <w:lang w:eastAsia="zh-CN"/>
        </w:rPr>
        <w:t>状况</w:t>
      </w:r>
      <w:r>
        <w:rPr>
          <w:color w:val="auto"/>
          <w:sz w:val="24"/>
          <w:szCs w:val="24"/>
          <w:highlight w:val="none"/>
          <w:u w:val="none"/>
        </w:rPr>
        <w:t>公报》，</w:t>
      </w:r>
      <w:r>
        <w:rPr>
          <w:rFonts w:hint="eastAsia"/>
          <w:color w:val="auto"/>
          <w:sz w:val="24"/>
          <w:szCs w:val="24"/>
          <w:highlight w:val="none"/>
          <w:u w:val="none"/>
        </w:rPr>
        <w:t>2022年，柳州市10个国控断面水质年均评价均达到或优于I类水质标准;国控断面年均评价为类水质的占50%。9个非国控断面水质年均评价均达到或优于I类水质标准。</w:t>
      </w:r>
      <w:r>
        <w:rPr>
          <w:rFonts w:hint="default" w:ascii="Times New Roman" w:hAnsi="Times New Roman" w:eastAsia="宋体" w:cs="Times New Roman"/>
          <w:sz w:val="24"/>
          <w:szCs w:val="24"/>
        </w:rPr>
        <w:t>项目评价河段水质现状满足《地表水环境质量标准》（GB3838-2002）Ⅱ类水质要求。</w:t>
      </w:r>
    </w:p>
    <w:p>
      <w:pPr>
        <w:spacing w:line="360" w:lineRule="auto"/>
        <w:ind w:firstLine="480" w:firstLineChars="200"/>
        <w:rPr>
          <w:rFonts w:hint="eastAsia"/>
          <w:sz w:val="24"/>
          <w:lang w:val="en-US" w:eastAsia="zh-CN"/>
        </w:rPr>
      </w:pPr>
      <w:r>
        <w:rPr>
          <w:rFonts w:hint="eastAsia"/>
          <w:sz w:val="24"/>
          <w:lang w:val="en-US" w:eastAsia="zh-CN"/>
        </w:rPr>
        <w:t>本次评价委托</w:t>
      </w:r>
      <w:r>
        <w:rPr>
          <w:rFonts w:hint="eastAsia" w:ascii="Times New Roman" w:hAnsi="Times New Roman" w:eastAsia="宋体" w:cs="Times New Roman"/>
          <w:color w:val="000000" w:themeColor="text1"/>
          <w:kern w:val="2"/>
          <w:sz w:val="24"/>
          <w:szCs w:val="24"/>
          <w:highlight w:val="none"/>
          <w:u w:val="none"/>
          <w:shd w:val="clear" w:color="auto" w:fill="auto"/>
          <w:lang w:val="en-US" w:eastAsia="zh-CN" w:bidi="ar-SA"/>
          <w14:textFill>
            <w14:solidFill>
              <w14:schemeClr w14:val="tx1"/>
            </w14:solidFill>
          </w14:textFill>
        </w:rPr>
        <w:t>广西德润环保科技有限公司</w:t>
      </w:r>
      <w:r>
        <w:rPr>
          <w:rFonts w:hint="eastAsia"/>
          <w:sz w:val="24"/>
          <w:lang w:val="en-US" w:eastAsia="zh-CN"/>
        </w:rPr>
        <w:t>针对项目排污口上下游所在的黄蜡河进行了水质检测：</w:t>
      </w:r>
    </w:p>
    <w:p>
      <w:pPr>
        <w:spacing w:line="360" w:lineRule="auto"/>
        <w:ind w:firstLine="480" w:firstLineChars="200"/>
        <w:rPr>
          <w:sz w:val="24"/>
        </w:rPr>
      </w:pPr>
      <w:r>
        <w:rPr>
          <w:kern w:val="0"/>
          <w:sz w:val="24"/>
        </w:rPr>
        <w:t>（1）监测点布设：</w:t>
      </w:r>
      <w:r>
        <w:rPr>
          <w:rFonts w:hint="eastAsia"/>
          <w:kern w:val="0"/>
          <w:sz w:val="24"/>
          <w:lang w:val="en-US" w:eastAsia="zh-CN"/>
        </w:rPr>
        <w:t>项目排污口上游500m处，项目排污口下游500m处，项目排污口下游2000m处</w:t>
      </w:r>
      <w:r>
        <w:rPr>
          <w:sz w:val="24"/>
        </w:rPr>
        <w:t>。</w:t>
      </w:r>
    </w:p>
    <w:p>
      <w:pPr>
        <w:widowControl/>
        <w:numPr>
          <w:ilvl w:val="0"/>
          <w:numId w:val="6"/>
        </w:numPr>
        <w:spacing w:line="360" w:lineRule="auto"/>
        <w:ind w:firstLine="480" w:firstLineChars="200"/>
        <w:jc w:val="left"/>
        <w:rPr>
          <w:sz w:val="24"/>
        </w:rPr>
      </w:pPr>
      <w:r>
        <w:rPr>
          <w:sz w:val="24"/>
        </w:rPr>
        <w:t>监测项目：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0"/>
          <w:lang w:val="en-US" w:eastAsia="zh-CN" w:bidi="ar-SA"/>
        </w:rPr>
      </w:pPr>
      <w:r>
        <w:rPr>
          <w:sz w:val="24"/>
        </w:rPr>
        <w:t>检测因子：</w:t>
      </w:r>
      <w:r>
        <w:rPr>
          <w:rFonts w:hint="default" w:ascii="Times New Roman" w:hAnsi="Times New Roman" w:eastAsia="宋体" w:cs="Times New Roman"/>
          <w:kern w:val="0"/>
          <w:sz w:val="24"/>
          <w:szCs w:val="20"/>
          <w:lang w:val="en-US" w:eastAsia="zh-CN" w:bidi="ar-SA"/>
        </w:rPr>
        <w:t>pH</w:t>
      </w:r>
      <w:r>
        <w:rPr>
          <w:rFonts w:hint="eastAsia" w:ascii="Times New Roman" w:hAnsi="Times New Roman" w:eastAsia="宋体" w:cs="Times New Roman"/>
          <w:kern w:val="0"/>
          <w:sz w:val="24"/>
          <w:szCs w:val="20"/>
          <w:lang w:val="en-US" w:eastAsia="zh-CN" w:bidi="ar-SA"/>
        </w:rPr>
        <w:t>值、化学需氧量、生化需氧量、悬浮物、氨氮、总氮、总磷、溶解氧、阴离子表面活性剂、粪大肠菌群</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sz w:val="24"/>
          <w:lang w:val="en-US" w:eastAsia="zh-CN"/>
        </w:rPr>
      </w:pPr>
      <w:r>
        <w:rPr>
          <w:sz w:val="24"/>
        </w:rPr>
        <w:t>监测频次：</w:t>
      </w:r>
      <w:r>
        <w:rPr>
          <w:rFonts w:hint="eastAsia"/>
          <w:sz w:val="24"/>
          <w:lang w:val="en-US" w:eastAsia="zh-CN"/>
        </w:rPr>
        <w:t>3</w:t>
      </w:r>
      <w:r>
        <w:rPr>
          <w:sz w:val="24"/>
        </w:rPr>
        <w:t>天，共</w:t>
      </w:r>
      <w:r>
        <w:rPr>
          <w:rFonts w:hint="eastAsia"/>
          <w:sz w:val="24"/>
          <w:lang w:val="en-US" w:eastAsia="zh-CN"/>
        </w:rPr>
        <w:t>6</w:t>
      </w:r>
      <w:r>
        <w:rPr>
          <w:sz w:val="24"/>
        </w:rPr>
        <w:t>次采样。</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eastAsia="宋体"/>
          <w:lang w:val="en-US" w:eastAsia="zh-CN"/>
        </w:rPr>
      </w:pPr>
      <w:r>
        <w:rPr>
          <w:rFonts w:hint="eastAsia"/>
          <w:sz w:val="24"/>
          <w:lang w:val="en-US" w:eastAsia="zh-CN"/>
        </w:rPr>
        <w:t>检测结果显示黄蜡河上下游水质满足</w:t>
      </w:r>
      <w:r>
        <w:rPr>
          <w:sz w:val="24"/>
        </w:rPr>
        <w:t>《地表水环境质量标准》（GB3838-2002）</w:t>
      </w:r>
      <w:r>
        <w:rPr>
          <w:rFonts w:hint="default" w:ascii="Times New Roman" w:hAnsi="Times New Roman" w:eastAsia="宋体" w:cs="Times New Roman"/>
          <w:sz w:val="24"/>
          <w:szCs w:val="24"/>
        </w:rPr>
        <w:t>Ⅱ</w:t>
      </w:r>
      <w:r>
        <w:rPr>
          <w:sz w:val="24"/>
        </w:rPr>
        <w:t>类标准</w:t>
      </w:r>
      <w:r>
        <w:rPr>
          <w:rFonts w:hint="eastAsia"/>
          <w:sz w:val="24"/>
          <w:lang w:val="en-US" w:eastAsia="zh-CN"/>
        </w:rPr>
        <w:t>要求，具体检测结果见表3.2-2。</w:t>
      </w:r>
    </w:p>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eastAsia"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表3.2-2  地表水监测结果  单位：mg/L</w:t>
      </w:r>
    </w:p>
    <w:tbl>
      <w:tblPr>
        <w:tblStyle w:val="3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056"/>
        <w:gridCol w:w="1056"/>
        <w:gridCol w:w="1056"/>
        <w:gridCol w:w="1056"/>
        <w:gridCol w:w="1056"/>
        <w:gridCol w:w="1056"/>
        <w:gridCol w:w="878"/>
        <w:gridCol w:w="879"/>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4" w:type="pct"/>
            <w:vMerge w:val="restar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检测项目</w:t>
            </w:r>
          </w:p>
        </w:tc>
        <w:tc>
          <w:tcPr>
            <w:tcW w:w="2559" w:type="pct"/>
            <w:gridSpan w:val="6"/>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检测结果</w:t>
            </w:r>
          </w:p>
        </w:tc>
        <w:tc>
          <w:tcPr>
            <w:tcW w:w="611" w:type="pct"/>
            <w:vMerge w:val="restar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计量单位</w:t>
            </w:r>
          </w:p>
        </w:tc>
        <w:tc>
          <w:tcPr>
            <w:tcW w:w="611" w:type="pct"/>
            <w:vMerge w:val="restar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标准限值</w:t>
            </w:r>
          </w:p>
        </w:tc>
        <w:tc>
          <w:tcPr>
            <w:tcW w:w="611" w:type="pct"/>
            <w:vMerge w:val="restar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1314" w:type="pct"/>
            <w:gridSpan w:val="3"/>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W1项目排污口上游500m处</w:t>
            </w:r>
          </w:p>
        </w:tc>
        <w:tc>
          <w:tcPr>
            <w:tcW w:w="1245" w:type="pct"/>
            <w:gridSpan w:val="3"/>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r>
              <w:rPr>
                <w:rStyle w:val="106"/>
                <w:rFonts w:hint="eastAsia" w:ascii="Times New Roman" w:hAnsi="Times New Roman" w:cs="Times New Roman" w:eastAsiaTheme="minorEastAsia"/>
                <w:b w:val="0"/>
                <w:bCs w:val="0"/>
                <w:sz w:val="21"/>
                <w:szCs w:val="21"/>
                <w:vertAlign w:val="baseline"/>
                <w:lang w:val="en-US" w:eastAsia="zh-CN"/>
              </w:rPr>
              <w:t>W2项目排污口下游3000m处</w:t>
            </w: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536"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2021.1.24</w:t>
            </w:r>
          </w:p>
        </w:tc>
        <w:tc>
          <w:tcPr>
            <w:tcW w:w="353"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2021.1.25</w:t>
            </w:r>
          </w:p>
        </w:tc>
        <w:tc>
          <w:tcPr>
            <w:tcW w:w="424"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2021.1.26</w:t>
            </w:r>
          </w:p>
        </w:tc>
        <w:tc>
          <w:tcPr>
            <w:tcW w:w="42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2021.1.24</w:t>
            </w:r>
          </w:p>
        </w:tc>
        <w:tc>
          <w:tcPr>
            <w:tcW w:w="382"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2021.1.25</w:t>
            </w:r>
          </w:p>
        </w:tc>
        <w:tc>
          <w:tcPr>
            <w:tcW w:w="440"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2021.1.26</w:t>
            </w: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c>
          <w:tcPr>
            <w:tcW w:w="611" w:type="pct"/>
            <w:vMerge w:val="continue"/>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jc w:val="center"/>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pH值</w:t>
            </w:r>
          </w:p>
        </w:tc>
        <w:tc>
          <w:tcPr>
            <w:tcW w:w="536"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6.8</w:t>
            </w:r>
          </w:p>
        </w:tc>
        <w:tc>
          <w:tcPr>
            <w:tcW w:w="353"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6.9</w:t>
            </w:r>
          </w:p>
        </w:tc>
        <w:tc>
          <w:tcPr>
            <w:tcW w:w="424"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6.8</w:t>
            </w:r>
          </w:p>
        </w:tc>
        <w:tc>
          <w:tcPr>
            <w:tcW w:w="421"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6.7</w:t>
            </w:r>
          </w:p>
        </w:tc>
        <w:tc>
          <w:tcPr>
            <w:tcW w:w="382"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highlight w:val="black"/>
                <w:lang w:val="en-US" w:eastAsia="zh-CN"/>
              </w:rPr>
              <w:t>6.8</w:t>
            </w:r>
          </w:p>
        </w:tc>
        <w:tc>
          <w:tcPr>
            <w:tcW w:w="440"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6.9</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无量纲</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6~9</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jc w:val="center"/>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氨氮</w:t>
            </w:r>
          </w:p>
        </w:tc>
        <w:tc>
          <w:tcPr>
            <w:tcW w:w="536"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0.046</w:t>
            </w:r>
          </w:p>
        </w:tc>
        <w:tc>
          <w:tcPr>
            <w:tcW w:w="353"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0.037</w:t>
            </w:r>
          </w:p>
        </w:tc>
        <w:tc>
          <w:tcPr>
            <w:tcW w:w="424"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0.040</w:t>
            </w:r>
          </w:p>
        </w:tc>
        <w:tc>
          <w:tcPr>
            <w:tcW w:w="421"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0.029</w:t>
            </w:r>
          </w:p>
        </w:tc>
        <w:tc>
          <w:tcPr>
            <w:tcW w:w="382"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0.092</w:t>
            </w:r>
          </w:p>
        </w:tc>
        <w:tc>
          <w:tcPr>
            <w:tcW w:w="440"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0.072</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0.5</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化学需氧量</w:t>
            </w:r>
          </w:p>
        </w:tc>
        <w:tc>
          <w:tcPr>
            <w:tcW w:w="536"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12</w:t>
            </w:r>
          </w:p>
        </w:tc>
        <w:tc>
          <w:tcPr>
            <w:tcW w:w="353"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14</w:t>
            </w:r>
          </w:p>
        </w:tc>
        <w:tc>
          <w:tcPr>
            <w:tcW w:w="424"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15</w:t>
            </w:r>
          </w:p>
        </w:tc>
        <w:tc>
          <w:tcPr>
            <w:tcW w:w="421"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12</w:t>
            </w:r>
          </w:p>
        </w:tc>
        <w:tc>
          <w:tcPr>
            <w:tcW w:w="382"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12</w:t>
            </w:r>
          </w:p>
        </w:tc>
        <w:tc>
          <w:tcPr>
            <w:tcW w:w="440"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11</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15</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highlight w:val="none"/>
                <w:lang w:val="en-US" w:eastAsia="zh-CN"/>
              </w:rPr>
              <w:t>五日生化需氧量</w:t>
            </w:r>
          </w:p>
        </w:tc>
        <w:tc>
          <w:tcPr>
            <w:tcW w:w="536"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2.2</w:t>
            </w:r>
          </w:p>
        </w:tc>
        <w:tc>
          <w:tcPr>
            <w:tcW w:w="353"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2.4</w:t>
            </w:r>
          </w:p>
        </w:tc>
        <w:tc>
          <w:tcPr>
            <w:tcW w:w="424"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2.6</w:t>
            </w:r>
          </w:p>
        </w:tc>
        <w:tc>
          <w:tcPr>
            <w:tcW w:w="421"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2.0</w:t>
            </w:r>
          </w:p>
        </w:tc>
        <w:tc>
          <w:tcPr>
            <w:tcW w:w="382" w:type="pct"/>
            <w:vAlign w:val="center"/>
          </w:tcPr>
          <w:p>
            <w:pPr>
              <w:jc w:val="center"/>
              <w:rPr>
                <w:rFonts w:hint="default"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2.2</w:t>
            </w:r>
          </w:p>
        </w:tc>
        <w:tc>
          <w:tcPr>
            <w:tcW w:w="440" w:type="pct"/>
            <w:vAlign w:val="center"/>
          </w:tcPr>
          <w:p>
            <w:pPr>
              <w:jc w:val="center"/>
              <w:rPr>
                <w:rFonts w:hint="eastAsia" w:ascii="Times New Roman" w:hAnsi="Times New Roman" w:eastAsia="宋体" w:cs="Times New Roman"/>
                <w:color w:val="auto"/>
                <w:kern w:val="2"/>
                <w:sz w:val="21"/>
                <w:szCs w:val="21"/>
                <w:highlight w:val="black"/>
                <w:lang w:val="en-US" w:eastAsia="zh-CN" w:bidi="ar-SA"/>
              </w:rPr>
            </w:pPr>
            <w:r>
              <w:rPr>
                <w:rFonts w:hint="eastAsia"/>
                <w:color w:val="auto"/>
                <w:sz w:val="21"/>
                <w:szCs w:val="21"/>
                <w:highlight w:val="black"/>
                <w:lang w:val="en-US" w:eastAsia="zh-CN"/>
              </w:rPr>
              <w:t>1.9</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3</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总磷</w:t>
            </w:r>
          </w:p>
        </w:tc>
        <w:tc>
          <w:tcPr>
            <w:tcW w:w="536"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0.01</w:t>
            </w:r>
          </w:p>
        </w:tc>
        <w:tc>
          <w:tcPr>
            <w:tcW w:w="353"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0.01</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0.01</w:t>
            </w:r>
          </w:p>
        </w:tc>
        <w:tc>
          <w:tcPr>
            <w:tcW w:w="421"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0.02</w:t>
            </w:r>
          </w:p>
        </w:tc>
        <w:tc>
          <w:tcPr>
            <w:tcW w:w="382"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0.01</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0.02</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0.1</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总氮</w:t>
            </w:r>
          </w:p>
        </w:tc>
        <w:tc>
          <w:tcPr>
            <w:tcW w:w="536"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1.14</w:t>
            </w:r>
          </w:p>
        </w:tc>
        <w:tc>
          <w:tcPr>
            <w:tcW w:w="353"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1.06</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1.25</w:t>
            </w:r>
          </w:p>
        </w:tc>
        <w:tc>
          <w:tcPr>
            <w:tcW w:w="421"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1.29</w:t>
            </w:r>
          </w:p>
        </w:tc>
        <w:tc>
          <w:tcPr>
            <w:tcW w:w="382"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1.32</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1.36</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0.5</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cs="Times New Roman" w:eastAsiaTheme="minorEastAsia"/>
                <w:b w:val="0"/>
                <w:bCs w:val="0"/>
                <w:sz w:val="21"/>
                <w:szCs w:val="21"/>
                <w:highlight w:val="none"/>
                <w:vertAlign w:val="baseli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default"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溶解氧</w:t>
            </w:r>
          </w:p>
        </w:tc>
        <w:tc>
          <w:tcPr>
            <w:tcW w:w="536"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7.1</w:t>
            </w:r>
          </w:p>
        </w:tc>
        <w:tc>
          <w:tcPr>
            <w:tcW w:w="353"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6.4</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7.3</w:t>
            </w:r>
          </w:p>
        </w:tc>
        <w:tc>
          <w:tcPr>
            <w:tcW w:w="421"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7.0</w:t>
            </w:r>
          </w:p>
        </w:tc>
        <w:tc>
          <w:tcPr>
            <w:tcW w:w="382"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7.2</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7.0</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≥6</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tabs>
                <w:tab w:val="left" w:pos="5220"/>
              </w:tabs>
              <w:spacing w:line="300" w:lineRule="exact"/>
              <w:jc w:val="center"/>
              <w:rPr>
                <w:rStyle w:val="106"/>
                <w:rFonts w:hint="default" w:ascii="Times New Roman" w:hAnsi="Times New Roman" w:cs="Times New Roman" w:eastAsiaTheme="minorEastAsia"/>
                <w:b w:val="0"/>
                <w:bCs w:val="0"/>
                <w:sz w:val="21"/>
                <w:szCs w:val="21"/>
                <w:vertAlign w:val="baseline"/>
                <w:lang w:val="en-US" w:eastAsia="zh-CN"/>
              </w:rPr>
            </w:pPr>
            <w:r>
              <w:rPr>
                <w:rFonts w:hint="eastAsia" w:cs="Times New Roman"/>
                <w:color w:val="auto"/>
                <w:sz w:val="21"/>
                <w:szCs w:val="21"/>
                <w:lang w:val="en-US" w:eastAsia="zh-CN"/>
              </w:rPr>
              <w:t>阴离子表面活性剂</w:t>
            </w:r>
          </w:p>
        </w:tc>
        <w:tc>
          <w:tcPr>
            <w:tcW w:w="536"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0.05L</w:t>
            </w:r>
          </w:p>
        </w:tc>
        <w:tc>
          <w:tcPr>
            <w:tcW w:w="353"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0.05L</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0.05L</w:t>
            </w:r>
          </w:p>
        </w:tc>
        <w:tc>
          <w:tcPr>
            <w:tcW w:w="421"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0.05L</w:t>
            </w:r>
          </w:p>
        </w:tc>
        <w:tc>
          <w:tcPr>
            <w:tcW w:w="382" w:type="pct"/>
            <w:vAlign w:val="center"/>
          </w:tcPr>
          <w:p>
            <w:pPr>
              <w:bidi w:val="0"/>
              <w:jc w:val="center"/>
              <w:rPr>
                <w:rFonts w:hint="default"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0.053</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0.051</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0.2</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tabs>
                <w:tab w:val="left" w:pos="5220"/>
              </w:tabs>
              <w:spacing w:line="300" w:lineRule="exact"/>
              <w:jc w:val="center"/>
              <w:rPr>
                <w:rStyle w:val="106"/>
                <w:rFonts w:hint="eastAsia" w:ascii="Times New Roman" w:hAnsi="Times New Roman" w:cs="Times New Roman" w:eastAsiaTheme="minorEastAsia"/>
                <w:b w:val="0"/>
                <w:bCs w:val="0"/>
                <w:sz w:val="21"/>
                <w:szCs w:val="21"/>
                <w:vertAlign w:val="baseline"/>
                <w:lang w:val="en-US" w:eastAsia="zh-CN"/>
              </w:rPr>
            </w:pPr>
            <w:r>
              <w:rPr>
                <w:rFonts w:hint="eastAsia" w:cs="Times New Roman"/>
                <w:color w:val="auto"/>
                <w:sz w:val="21"/>
                <w:szCs w:val="21"/>
                <w:lang w:val="en-US" w:eastAsia="zh-CN"/>
              </w:rPr>
              <w:t>粪大肠菌群</w:t>
            </w:r>
          </w:p>
        </w:tc>
        <w:tc>
          <w:tcPr>
            <w:tcW w:w="536"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default" w:ascii="Times New Roman" w:hAnsi="Times New Roman" w:cs="Times New Roman"/>
                <w:color w:val="auto"/>
                <w:highlight w:val="black"/>
                <w:lang w:val="en-US" w:eastAsia="zh-CN"/>
              </w:rPr>
              <w:t>1.</w:t>
            </w:r>
            <w:r>
              <w:rPr>
                <w:rFonts w:hint="eastAsia" w:ascii="Times New Roman" w:hAnsi="Times New Roman" w:cs="Times New Roman"/>
                <w:color w:val="auto"/>
                <w:highlight w:val="black"/>
                <w:lang w:val="en-US" w:eastAsia="zh-CN"/>
              </w:rPr>
              <w:t>1</w:t>
            </w:r>
            <w:r>
              <w:rPr>
                <w:rFonts w:hint="default" w:ascii="Times New Roman" w:hAnsi="Times New Roman" w:cs="Times New Roman"/>
                <w:color w:val="auto"/>
                <w:highlight w:val="black"/>
                <w:lang w:val="en-US" w:eastAsia="zh-CN"/>
              </w:rPr>
              <w:t>×10</w:t>
            </w:r>
            <w:r>
              <w:rPr>
                <w:rFonts w:hint="default" w:ascii="Times New Roman" w:hAnsi="Times New Roman" w:cs="Times New Roman"/>
                <w:color w:val="auto"/>
                <w:highlight w:val="black"/>
                <w:vertAlign w:val="superscript"/>
                <w:lang w:val="en-US" w:eastAsia="zh-CN"/>
              </w:rPr>
              <w:t>3</w:t>
            </w:r>
          </w:p>
        </w:tc>
        <w:tc>
          <w:tcPr>
            <w:tcW w:w="353"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ascii="Times New Roman" w:hAnsi="Times New Roman" w:cs="Times New Roman"/>
                <w:color w:val="auto"/>
                <w:highlight w:val="black"/>
                <w:lang w:val="en-US" w:eastAsia="zh-CN"/>
              </w:rPr>
              <w:t>7.9</w:t>
            </w:r>
            <w:r>
              <w:rPr>
                <w:rFonts w:hint="default" w:ascii="Times New Roman" w:hAnsi="Times New Roman" w:cs="Times New Roman"/>
                <w:color w:val="auto"/>
                <w:highlight w:val="black"/>
                <w:lang w:val="en-US" w:eastAsia="zh-CN"/>
              </w:rPr>
              <w:t>×10</w:t>
            </w:r>
            <w:r>
              <w:rPr>
                <w:rFonts w:hint="eastAsia" w:ascii="Times New Roman" w:hAnsi="Times New Roman" w:cs="Times New Roman"/>
                <w:color w:val="auto"/>
                <w:highlight w:val="black"/>
                <w:vertAlign w:val="superscript"/>
                <w:lang w:val="en-US" w:eastAsia="zh-CN"/>
              </w:rPr>
              <w:t>2</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default" w:ascii="Times New Roman" w:hAnsi="Times New Roman" w:cs="Times New Roman"/>
                <w:color w:val="auto"/>
                <w:highlight w:val="black"/>
                <w:lang w:val="en-US" w:eastAsia="zh-CN"/>
              </w:rPr>
              <w:t>1.</w:t>
            </w:r>
            <w:r>
              <w:rPr>
                <w:rFonts w:hint="eastAsia" w:cs="Times New Roman"/>
                <w:color w:val="auto"/>
                <w:highlight w:val="black"/>
                <w:lang w:val="en-US" w:eastAsia="zh-CN"/>
              </w:rPr>
              <w:t>3</w:t>
            </w:r>
            <w:r>
              <w:rPr>
                <w:rFonts w:hint="default" w:ascii="Times New Roman" w:hAnsi="Times New Roman" w:cs="Times New Roman"/>
                <w:color w:val="auto"/>
                <w:highlight w:val="black"/>
                <w:lang w:val="en-US" w:eastAsia="zh-CN"/>
              </w:rPr>
              <w:t>×10</w:t>
            </w:r>
            <w:r>
              <w:rPr>
                <w:rFonts w:hint="default" w:ascii="Times New Roman" w:hAnsi="Times New Roman" w:cs="Times New Roman"/>
                <w:color w:val="auto"/>
                <w:highlight w:val="black"/>
                <w:vertAlign w:val="superscript"/>
                <w:lang w:val="en-US" w:eastAsia="zh-CN"/>
              </w:rPr>
              <w:t>3</w:t>
            </w:r>
          </w:p>
        </w:tc>
        <w:tc>
          <w:tcPr>
            <w:tcW w:w="421"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ascii="Times New Roman" w:hAnsi="Times New Roman" w:cs="Times New Roman"/>
                <w:color w:val="auto"/>
                <w:highlight w:val="black"/>
                <w:lang w:val="en-US" w:eastAsia="zh-CN"/>
              </w:rPr>
              <w:t>9.4</w:t>
            </w:r>
            <w:r>
              <w:rPr>
                <w:rFonts w:hint="default" w:ascii="Times New Roman" w:hAnsi="Times New Roman" w:cs="Times New Roman"/>
                <w:color w:val="auto"/>
                <w:highlight w:val="black"/>
                <w:lang w:val="en-US" w:eastAsia="zh-CN"/>
              </w:rPr>
              <w:t>×10</w:t>
            </w:r>
            <w:r>
              <w:rPr>
                <w:rFonts w:hint="eastAsia" w:ascii="Times New Roman" w:hAnsi="Times New Roman" w:cs="Times New Roman"/>
                <w:color w:val="auto"/>
                <w:highlight w:val="black"/>
                <w:vertAlign w:val="superscript"/>
                <w:lang w:val="en-US" w:eastAsia="zh-CN"/>
              </w:rPr>
              <w:t>2</w:t>
            </w:r>
          </w:p>
        </w:tc>
        <w:tc>
          <w:tcPr>
            <w:tcW w:w="382"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ascii="Times New Roman" w:hAnsi="Times New Roman" w:cs="Times New Roman"/>
                <w:color w:val="auto"/>
                <w:highlight w:val="black"/>
                <w:lang w:val="en-US" w:eastAsia="zh-CN"/>
              </w:rPr>
              <w:t>1.4</w:t>
            </w:r>
            <w:r>
              <w:rPr>
                <w:rFonts w:hint="default" w:ascii="Times New Roman" w:hAnsi="Times New Roman" w:cs="Times New Roman"/>
                <w:color w:val="auto"/>
                <w:highlight w:val="black"/>
                <w:lang w:val="en-US" w:eastAsia="zh-CN"/>
              </w:rPr>
              <w:t>×10</w:t>
            </w:r>
            <w:r>
              <w:rPr>
                <w:rFonts w:hint="eastAsia" w:ascii="Times New Roman" w:hAnsi="Times New Roman" w:cs="Times New Roman"/>
                <w:color w:val="auto"/>
                <w:highlight w:val="black"/>
                <w:vertAlign w:val="superscript"/>
                <w:lang w:val="en-US" w:eastAsia="zh-CN"/>
              </w:rPr>
              <w:t>3</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default" w:ascii="Times New Roman" w:hAnsi="Times New Roman" w:cs="Times New Roman"/>
                <w:color w:val="auto"/>
                <w:highlight w:val="black"/>
                <w:lang w:val="en-US" w:eastAsia="zh-CN"/>
              </w:rPr>
              <w:t>1.</w:t>
            </w:r>
            <w:r>
              <w:rPr>
                <w:rFonts w:hint="eastAsia" w:cs="Times New Roman"/>
                <w:color w:val="auto"/>
                <w:highlight w:val="black"/>
                <w:lang w:val="en-US" w:eastAsia="zh-CN"/>
              </w:rPr>
              <w:t>1</w:t>
            </w:r>
            <w:r>
              <w:rPr>
                <w:rFonts w:hint="default" w:ascii="Times New Roman" w:hAnsi="Times New Roman" w:cs="Times New Roman"/>
                <w:color w:val="auto"/>
                <w:highlight w:val="black"/>
                <w:lang w:val="en-US" w:eastAsia="zh-CN"/>
              </w:rPr>
              <w:t>×10</w:t>
            </w:r>
            <w:r>
              <w:rPr>
                <w:rFonts w:hint="default" w:ascii="Times New Roman" w:hAnsi="Times New Roman" w:cs="Times New Roman"/>
                <w:color w:val="auto"/>
                <w:highlight w:val="black"/>
                <w:vertAlign w:val="superscript"/>
                <w:lang w:val="en-US" w:eastAsia="zh-CN"/>
              </w:rPr>
              <w:t>3</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eastAsia" w:ascii="Times New Roman" w:hAnsi="Times New Roman" w:cs="Times New Roman" w:eastAsiaTheme="minorEastAsia"/>
                <w:b w:val="0"/>
                <w:bCs w:val="0"/>
                <w:sz w:val="21"/>
                <w:szCs w:val="21"/>
                <w:highlight w:val="black"/>
                <w:vertAlign w:val="baseline"/>
                <w:lang w:val="en-US" w:eastAsia="zh-CN"/>
              </w:rPr>
            </w:pPr>
            <w:r>
              <w:rPr>
                <w:rFonts w:hint="eastAsia"/>
                <w:color w:val="auto"/>
                <w:sz w:val="21"/>
                <w:szCs w:val="21"/>
                <w:highlight w:val="black"/>
                <w:lang w:val="en-US" w:eastAsia="zh-CN"/>
              </w:rPr>
              <w:t>MPN/L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2000</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eastAsia" w:ascii="Times New Roman" w:hAnsi="Times New Roman" w:cs="Times New Roman" w:eastAsiaTheme="minorEastAsia"/>
                <w:b w:val="0"/>
                <w:bCs w:val="0"/>
                <w:sz w:val="21"/>
                <w:szCs w:val="21"/>
                <w:highlight w:val="none"/>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Style w:val="106"/>
                <w:rFonts w:hint="eastAsia" w:ascii="Times New Roman" w:hAnsi="Times New Roman" w:cs="Times New Roman" w:eastAsiaTheme="minorEastAsia"/>
                <w:b w:val="0"/>
                <w:bCs w:val="0"/>
                <w:sz w:val="21"/>
                <w:szCs w:val="21"/>
                <w:vertAlign w:val="baseline"/>
                <w:lang w:val="en-US" w:eastAsia="zh-CN"/>
              </w:rPr>
            </w:pPr>
            <w:r>
              <w:rPr>
                <w:rFonts w:hint="eastAsia"/>
                <w:color w:val="auto"/>
                <w:sz w:val="21"/>
                <w:szCs w:val="21"/>
                <w:highlight w:val="none"/>
                <w:lang w:val="en-US" w:eastAsia="zh-CN"/>
              </w:rPr>
              <w:t>悬浮物</w:t>
            </w:r>
          </w:p>
        </w:tc>
        <w:tc>
          <w:tcPr>
            <w:tcW w:w="536"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353"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424"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421"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382"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440" w:type="pct"/>
            <w:vAlign w:val="center"/>
          </w:tcPr>
          <w:p>
            <w:pPr>
              <w:bidi w:val="0"/>
              <w:jc w:val="center"/>
              <w:rPr>
                <w:rFonts w:hint="eastAsia" w:ascii="Times New Roman" w:hAnsi="Times New Roman" w:eastAsia="宋体" w:cs="Times New Roman"/>
                <w:color w:val="auto"/>
                <w:kern w:val="2"/>
                <w:sz w:val="21"/>
                <w:szCs w:val="24"/>
                <w:highlight w:val="black"/>
                <w:lang w:val="en-US" w:eastAsia="zh-CN" w:bidi="ar-SA"/>
              </w:rPr>
            </w:pPr>
            <w:r>
              <w:rPr>
                <w:rFonts w:hint="eastAsia"/>
                <w:color w:val="auto"/>
                <w:highlight w:val="black"/>
                <w:lang w:val="en-US" w:eastAsia="zh-CN"/>
              </w:rPr>
              <w:t>4</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eastAsia"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mg/L</w:t>
            </w:r>
          </w:p>
        </w:tc>
        <w:tc>
          <w:tcPr>
            <w:tcW w:w="611" w:type="pct"/>
            <w:vAlign w:val="center"/>
          </w:tcPr>
          <w:p>
            <w:pPr>
              <w:pStyle w:val="111"/>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default"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black"/>
                <w:vertAlign w:val="baseline"/>
                <w:lang w:val="en-US" w:eastAsia="zh-CN"/>
              </w:rPr>
              <w:t>25</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06"/>
                <w:rFonts w:hint="eastAsia" w:ascii="Times New Roman" w:hAnsi="Times New Roman" w:cs="Times New Roman" w:eastAsiaTheme="minorEastAsia"/>
                <w:b w:val="0"/>
                <w:bCs w:val="0"/>
                <w:sz w:val="21"/>
                <w:szCs w:val="21"/>
                <w:highlight w:val="black"/>
                <w:vertAlign w:val="baseline"/>
                <w:lang w:val="en-US" w:eastAsia="zh-CN"/>
              </w:rPr>
            </w:pPr>
            <w:r>
              <w:rPr>
                <w:rStyle w:val="106"/>
                <w:rFonts w:hint="eastAsia" w:ascii="Times New Roman" w:hAnsi="Times New Roman" w:cs="Times New Roman" w:eastAsiaTheme="minorEastAsia"/>
                <w:b w:val="0"/>
                <w:bCs w:val="0"/>
                <w:sz w:val="21"/>
                <w:szCs w:val="21"/>
                <w:highlight w:val="none"/>
                <w:vertAlign w:val="baseline"/>
                <w:lang w:val="en-US" w:eastAsia="zh-CN"/>
              </w:rPr>
              <w:t>达标</w:t>
            </w:r>
          </w:p>
        </w:tc>
      </w:tr>
    </w:tbl>
    <w:p>
      <w:pPr>
        <w:pStyle w:val="111"/>
        <w:rPr>
          <w:rStyle w:val="106"/>
          <w:rFonts w:hint="default" w:ascii="Times New Roman" w:hAnsi="Times New Roman" w:cs="Times New Roman" w:eastAsiaTheme="minorEastAsia"/>
          <w:sz w:val="24"/>
          <w:szCs w:val="24"/>
          <w:lang w:val="en-US" w:eastAsia="zh-CN"/>
        </w:rPr>
        <w:sectPr>
          <w:pgSz w:w="11906" w:h="16838"/>
          <w:pgMar w:top="1361" w:right="1134" w:bottom="1361" w:left="1134" w:header="794" w:footer="850" w:gutter="0"/>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Style w:val="105"/>
          <w:rFonts w:hint="default" w:eastAsiaTheme="minorEastAsia"/>
          <w:sz w:val="24"/>
          <w:szCs w:val="24"/>
          <w:lang w:val="en-US" w:eastAsia="zh-CN"/>
        </w:rPr>
      </w:pPr>
      <w:r>
        <w:rPr>
          <w:rStyle w:val="105"/>
          <w:rFonts w:hint="eastAsia" w:eastAsiaTheme="minorEastAsia"/>
          <w:sz w:val="24"/>
          <w:szCs w:val="24"/>
          <w:lang w:val="en-US" w:eastAsia="zh-CN"/>
        </w:rPr>
        <w:t>4</w:t>
      </w:r>
      <w:r>
        <w:rPr>
          <w:rStyle w:val="105"/>
          <w:rFonts w:eastAsiaTheme="minorEastAsia"/>
          <w:sz w:val="24"/>
          <w:szCs w:val="24"/>
        </w:rPr>
        <w:t>、</w:t>
      </w:r>
      <w:r>
        <w:rPr>
          <w:rStyle w:val="105"/>
          <w:rFonts w:hint="eastAsia" w:eastAsiaTheme="minorEastAsia"/>
          <w:sz w:val="24"/>
          <w:szCs w:val="24"/>
          <w:lang w:val="en-US" w:eastAsia="zh-CN"/>
        </w:rPr>
        <w:t>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hint="eastAsia"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4.1废水排放源强</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（1）废水污染源及源强分析</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①生活废水</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sz w:val="24"/>
          <w:u w:val="none"/>
        </w:rPr>
        <w:t>本项目劳动定员</w:t>
      </w:r>
      <w:r>
        <w:rPr>
          <w:rFonts w:hint="eastAsia" w:cs="Times New Roman"/>
          <w:sz w:val="24"/>
          <w:u w:val="none"/>
          <w:lang w:val="en-US" w:eastAsia="zh-CN"/>
        </w:rPr>
        <w:t>120</w:t>
      </w:r>
      <w:r>
        <w:rPr>
          <w:rFonts w:hint="default" w:ascii="Times New Roman" w:hAnsi="Times New Roman" w:eastAsia="宋体" w:cs="Times New Roman"/>
          <w:sz w:val="24"/>
          <w:u w:val="none"/>
        </w:rPr>
        <w:t>人，年工作</w:t>
      </w:r>
      <w:r>
        <w:rPr>
          <w:rFonts w:hint="eastAsia" w:cs="Times New Roman"/>
          <w:sz w:val="24"/>
          <w:u w:val="none"/>
          <w:lang w:val="en-US" w:eastAsia="zh-CN"/>
        </w:rPr>
        <w:t>300</w:t>
      </w:r>
      <w:r>
        <w:rPr>
          <w:rFonts w:hint="default" w:ascii="Times New Roman" w:hAnsi="Times New Roman" w:eastAsia="宋体" w:cs="Times New Roman"/>
          <w:sz w:val="24"/>
          <w:u w:val="none"/>
        </w:rPr>
        <w:t>天，工作制度为8小时制，</w:t>
      </w:r>
      <w:r>
        <w:rPr>
          <w:rFonts w:hint="eastAsia" w:cs="Times New Roman"/>
          <w:sz w:val="24"/>
          <w:u w:val="none"/>
          <w:lang w:val="en-US" w:eastAsia="zh-CN"/>
        </w:rPr>
        <w:t>仓库和厂房人员90人，</w:t>
      </w:r>
      <w:r>
        <w:rPr>
          <w:rFonts w:hint="default" w:ascii="Times New Roman" w:hAnsi="Times New Roman" w:eastAsia="宋体" w:cs="Times New Roman"/>
          <w:sz w:val="24"/>
          <w:u w:val="none"/>
        </w:rPr>
        <w:t>员工生活用水量以</w:t>
      </w:r>
      <w:r>
        <w:rPr>
          <w:rFonts w:hint="eastAsia" w:cs="Times New Roman"/>
          <w:sz w:val="24"/>
          <w:u w:val="none"/>
          <w:lang w:val="en-US" w:eastAsia="zh-CN"/>
        </w:rPr>
        <w:t>5</w:t>
      </w:r>
      <w:r>
        <w:rPr>
          <w:rFonts w:hint="default" w:ascii="Times New Roman" w:hAnsi="Times New Roman" w:eastAsia="宋体" w:cs="Times New Roman"/>
          <w:sz w:val="24"/>
          <w:u w:val="none"/>
        </w:rPr>
        <w:t>0L/d•人计，</w:t>
      </w:r>
      <w:r>
        <w:rPr>
          <w:rFonts w:hint="eastAsia" w:cs="Times New Roman"/>
          <w:sz w:val="24"/>
          <w:u w:val="none"/>
          <w:lang w:val="en-US" w:eastAsia="zh-CN"/>
        </w:rPr>
        <w:t>综合楼员工30人，员工生活按200</w:t>
      </w:r>
      <w:r>
        <w:rPr>
          <w:rFonts w:hint="default" w:ascii="Times New Roman" w:hAnsi="Times New Roman" w:eastAsia="宋体" w:cs="Times New Roman"/>
          <w:sz w:val="24"/>
          <w:u w:val="none"/>
        </w:rPr>
        <w:t>L/d•人计</w:t>
      </w:r>
      <w:r>
        <w:rPr>
          <w:rFonts w:hint="eastAsia" w:ascii="Times New Roman" w:hAnsi="Times New Roman" w:eastAsia="宋体" w:cs="Times New Roman"/>
          <w:sz w:val="24"/>
          <w:u w:val="none"/>
          <w:lang w:eastAsia="zh-CN"/>
        </w:rPr>
        <w:t>。</w:t>
      </w:r>
      <w:r>
        <w:rPr>
          <w:rFonts w:hint="default" w:ascii="Times New Roman" w:hAnsi="Times New Roman" w:eastAsia="宋体" w:cs="Times New Roman"/>
          <w:sz w:val="24"/>
          <w:u w:val="none"/>
        </w:rPr>
        <w:t>则生活用水量为</w:t>
      </w:r>
      <w:r>
        <w:rPr>
          <w:rFonts w:hint="eastAsia" w:cs="Times New Roman"/>
          <w:sz w:val="24"/>
          <w:u w:val="none"/>
          <w:lang w:val="en-US" w:eastAsia="zh-CN"/>
        </w:rPr>
        <w:t>10.5</w:t>
      </w:r>
      <w:r>
        <w:rPr>
          <w:rFonts w:hint="default" w:ascii="Times New Roman" w:hAnsi="Times New Roman" w:eastAsia="宋体" w:cs="Times New Roman"/>
          <w:sz w:val="24"/>
          <w:u w:val="none"/>
        </w:rPr>
        <w:t>t/d，年生活用水量为</w:t>
      </w:r>
      <w:r>
        <w:rPr>
          <w:rFonts w:hint="eastAsia" w:cs="Times New Roman"/>
          <w:sz w:val="24"/>
          <w:u w:val="none"/>
          <w:lang w:val="en-US" w:eastAsia="zh-CN"/>
        </w:rPr>
        <w:t>3150</w:t>
      </w:r>
      <w:r>
        <w:rPr>
          <w:rFonts w:hint="default" w:ascii="Times New Roman" w:hAnsi="Times New Roman" w:eastAsia="宋体" w:cs="Times New Roman"/>
          <w:sz w:val="24"/>
          <w:u w:val="none"/>
        </w:rPr>
        <w:t>t/a。排水量按用水量的80%计，则本项目排水量</w:t>
      </w:r>
      <w:r>
        <w:rPr>
          <w:rFonts w:hint="eastAsia" w:cs="Times New Roman"/>
          <w:sz w:val="24"/>
          <w:u w:val="none"/>
          <w:lang w:val="en-US" w:eastAsia="zh-CN"/>
        </w:rPr>
        <w:t>2520</w:t>
      </w:r>
      <w:r>
        <w:rPr>
          <w:rFonts w:hint="default" w:ascii="Times New Roman" w:hAnsi="Times New Roman" w:eastAsia="宋体" w:cs="Times New Roman"/>
          <w:sz w:val="24"/>
          <w:u w:val="none"/>
        </w:rPr>
        <w:t>t/a(</w:t>
      </w:r>
      <w:r>
        <w:rPr>
          <w:rFonts w:hint="eastAsia" w:cs="Times New Roman"/>
          <w:sz w:val="24"/>
          <w:u w:val="none"/>
          <w:lang w:val="en-US" w:eastAsia="zh-CN"/>
        </w:rPr>
        <w:t>8.4</w:t>
      </w:r>
      <w:r>
        <w:rPr>
          <w:rFonts w:hint="default" w:ascii="Times New Roman" w:hAnsi="Times New Roman" w:eastAsia="宋体" w:cs="Times New Roman"/>
          <w:sz w:val="24"/>
          <w:u w:val="none"/>
        </w:rPr>
        <w:t>t/d)，按照一般生活污水污染情况，主要污染物及产生浓度如下CODcr：350mg/L、BOD</w:t>
      </w:r>
      <w:r>
        <w:rPr>
          <w:rFonts w:hint="default" w:ascii="Times New Roman" w:hAnsi="Times New Roman" w:eastAsia="宋体" w:cs="Times New Roman"/>
          <w:sz w:val="24"/>
          <w:u w:val="none"/>
          <w:vertAlign w:val="subscript"/>
        </w:rPr>
        <w:t>5</w:t>
      </w:r>
      <w:r>
        <w:rPr>
          <w:rFonts w:hint="default" w:ascii="Times New Roman" w:hAnsi="Times New Roman" w:eastAsia="宋体" w:cs="Times New Roman"/>
          <w:sz w:val="24"/>
          <w:u w:val="none"/>
        </w:rPr>
        <w:t>：180mg/L、SS：250mg/L、氨氮：25mg/L等。</w:t>
      </w:r>
    </w:p>
    <w:p>
      <w:pPr>
        <w:pStyle w:val="17"/>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②生产工序</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a.产品加工废水</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清洗：通过业主多年的生产经验可知，大米清洗1次，用水量约为原料大米用量的1倍，本项目大米原料的用量为</w:t>
      </w:r>
      <w:r>
        <w:rPr>
          <w:rFonts w:hint="eastAsia" w:cs="Times New Roman"/>
          <w:sz w:val="24"/>
          <w:u w:val="none"/>
          <w:lang w:val="en-US" w:eastAsia="zh-CN"/>
        </w:rPr>
        <w:t>5100</w:t>
      </w:r>
      <w:r>
        <w:rPr>
          <w:rFonts w:hint="default" w:ascii="Times New Roman" w:hAnsi="Times New Roman" w:eastAsia="宋体" w:cs="Times New Roman"/>
          <w:sz w:val="24"/>
          <w:u w:val="none"/>
        </w:rPr>
        <w:t>t/a，则大米清洗用水量为</w:t>
      </w:r>
      <w:r>
        <w:rPr>
          <w:rFonts w:hint="eastAsia" w:cs="Times New Roman"/>
          <w:sz w:val="24"/>
          <w:u w:val="none"/>
          <w:lang w:val="en-US" w:eastAsia="zh-CN"/>
        </w:rPr>
        <w:t>5100t</w:t>
      </w:r>
      <w:r>
        <w:rPr>
          <w:rFonts w:hint="default" w:ascii="Times New Roman" w:hAnsi="Times New Roman" w:eastAsia="宋体" w:cs="Times New Roman"/>
          <w:sz w:val="24"/>
          <w:u w:val="none"/>
        </w:rPr>
        <w:t>/a，大米清洗废水产生系数为0.8，则大米清洗废水产生量为</w:t>
      </w:r>
      <w:r>
        <w:rPr>
          <w:rFonts w:hint="eastAsia" w:cs="Times New Roman"/>
          <w:sz w:val="24"/>
          <w:u w:val="none"/>
          <w:lang w:val="en-US" w:eastAsia="zh-CN"/>
        </w:rPr>
        <w:t>4080</w:t>
      </w:r>
      <w:r>
        <w:rPr>
          <w:rFonts w:hint="default" w:ascii="Times New Roman" w:hAnsi="Times New Roman" w:eastAsia="宋体" w:cs="Times New Roman"/>
          <w:sz w:val="24"/>
          <w:u w:val="none"/>
        </w:rPr>
        <w:t>t/a（折为</w:t>
      </w:r>
      <w:r>
        <w:rPr>
          <w:rFonts w:hint="eastAsia" w:cs="Times New Roman"/>
          <w:sz w:val="24"/>
          <w:u w:val="none"/>
          <w:lang w:val="en-US" w:eastAsia="zh-CN"/>
        </w:rPr>
        <w:t>13.6</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浸泡：通过业主多年的生产经验可知，大米浸泡2次，总的用水量约为原料大米用量的1.5倍，本项目大米原料的用量为</w:t>
      </w:r>
      <w:r>
        <w:rPr>
          <w:rFonts w:hint="eastAsia" w:cs="Times New Roman"/>
          <w:sz w:val="24"/>
          <w:u w:val="none"/>
          <w:lang w:val="en-US" w:eastAsia="zh-CN"/>
        </w:rPr>
        <w:t>5100</w:t>
      </w:r>
      <w:r>
        <w:rPr>
          <w:rFonts w:hint="default" w:ascii="Times New Roman" w:hAnsi="Times New Roman" w:eastAsia="宋体" w:cs="Times New Roman"/>
          <w:sz w:val="24"/>
          <w:u w:val="none"/>
        </w:rPr>
        <w:t>t/a，则大米浸泡用水量为</w:t>
      </w:r>
      <w:r>
        <w:rPr>
          <w:rFonts w:hint="eastAsia" w:cs="Times New Roman"/>
          <w:sz w:val="24"/>
          <w:u w:val="none"/>
          <w:lang w:val="en-US" w:eastAsia="zh-CN"/>
        </w:rPr>
        <w:t>7650</w:t>
      </w:r>
      <w:r>
        <w:rPr>
          <w:rFonts w:hint="default" w:ascii="Times New Roman" w:hAnsi="Times New Roman" w:eastAsia="宋体" w:cs="Times New Roman"/>
          <w:sz w:val="24"/>
          <w:u w:val="none"/>
        </w:rPr>
        <w:t>t/a，大米浸泡废水产生系数按照0.4计算，则大米浸泡废水产生量为</w:t>
      </w:r>
      <w:r>
        <w:rPr>
          <w:rFonts w:hint="eastAsia" w:cs="Times New Roman"/>
          <w:sz w:val="24"/>
          <w:u w:val="none"/>
          <w:lang w:val="en-US" w:eastAsia="zh-CN"/>
        </w:rPr>
        <w:t>3060</w:t>
      </w:r>
      <w:r>
        <w:rPr>
          <w:rFonts w:hint="default" w:ascii="Times New Roman" w:hAnsi="Times New Roman" w:eastAsia="宋体" w:cs="Times New Roman"/>
          <w:sz w:val="24"/>
          <w:u w:val="none"/>
        </w:rPr>
        <w:t>t/a（折为</w:t>
      </w:r>
      <w:r>
        <w:rPr>
          <w:rFonts w:hint="eastAsia" w:cs="Times New Roman"/>
          <w:sz w:val="24"/>
          <w:u w:val="none"/>
          <w:lang w:val="en-US" w:eastAsia="zh-CN"/>
        </w:rPr>
        <w:t>10.2</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综上，本项目生产过程中大米清洗和浸泡废水的总产生量为</w:t>
      </w:r>
      <w:r>
        <w:rPr>
          <w:rFonts w:hint="eastAsia" w:cs="Times New Roman"/>
          <w:sz w:val="24"/>
          <w:u w:val="none"/>
          <w:lang w:val="en-US" w:eastAsia="zh-CN"/>
        </w:rPr>
        <w:t>7140</w:t>
      </w:r>
      <w:r>
        <w:rPr>
          <w:rFonts w:hint="default" w:ascii="Times New Roman" w:hAnsi="Times New Roman" w:eastAsia="宋体" w:cs="Times New Roman"/>
          <w:sz w:val="24"/>
          <w:u w:val="none"/>
        </w:rPr>
        <w:t>t/a（折为</w:t>
      </w:r>
      <w:r>
        <w:rPr>
          <w:rFonts w:hint="eastAsia" w:cs="Times New Roman"/>
          <w:sz w:val="24"/>
          <w:u w:val="none"/>
          <w:lang w:val="en-US" w:eastAsia="zh-CN"/>
        </w:rPr>
        <w:t>23.8</w:t>
      </w:r>
      <w:r>
        <w:rPr>
          <w:rFonts w:hint="default" w:ascii="Times New Roman" w:hAnsi="Times New Roman" w:eastAsia="宋体" w:cs="Times New Roman"/>
          <w:sz w:val="24"/>
          <w:u w:val="none"/>
        </w:rPr>
        <w:t>t/d）；</w:t>
      </w:r>
    </w:p>
    <w:p>
      <w:pPr>
        <w:spacing w:line="360" w:lineRule="auto"/>
        <w:ind w:firstLine="480" w:firstLineChars="200"/>
        <w:rPr>
          <w:rFonts w:hint="default" w:ascii="Times New Roman" w:hAnsi="Times New Roman" w:eastAsia="宋体" w:cs="Times New Roman"/>
          <w:sz w:val="24"/>
          <w:u w:val="none"/>
        </w:rPr>
      </w:pPr>
      <w:r>
        <w:rPr>
          <w:rFonts w:hint="eastAsia" w:ascii="Times New Roman" w:hAnsi="Times New Roman" w:eastAsia="宋体" w:cs="Times New Roman"/>
          <w:sz w:val="24"/>
          <w:u w:val="none"/>
          <w:lang w:val="en-US" w:eastAsia="zh-CN"/>
        </w:rPr>
        <w:t>和浆用水</w:t>
      </w:r>
      <w:r>
        <w:rPr>
          <w:rFonts w:hint="default" w:ascii="Times New Roman" w:hAnsi="Times New Roman" w:eastAsia="宋体" w:cs="Times New Roman"/>
          <w:sz w:val="24"/>
          <w:u w:val="none"/>
        </w:rPr>
        <w:t>：</w:t>
      </w:r>
      <w:r>
        <w:rPr>
          <w:rFonts w:hint="eastAsia" w:ascii="Times New Roman" w:hAnsi="Times New Roman" w:eastAsia="宋体" w:cs="Times New Roman"/>
          <w:sz w:val="24"/>
          <w:u w:val="none"/>
          <w:lang w:val="en-US" w:eastAsia="zh-CN"/>
        </w:rPr>
        <w:t>和浆</w:t>
      </w:r>
      <w:r>
        <w:rPr>
          <w:rFonts w:hint="default" w:ascii="Times New Roman" w:hAnsi="Times New Roman" w:eastAsia="宋体" w:cs="Times New Roman"/>
          <w:sz w:val="24"/>
          <w:u w:val="none"/>
        </w:rPr>
        <w:t>用水量为原料（大米、淀粉总用量为</w:t>
      </w:r>
      <w:r>
        <w:rPr>
          <w:rFonts w:hint="eastAsia" w:cs="Times New Roman"/>
          <w:sz w:val="24"/>
          <w:u w:val="none"/>
          <w:lang w:val="en-US" w:eastAsia="zh-CN"/>
        </w:rPr>
        <w:t>7250</w:t>
      </w:r>
      <w:r>
        <w:rPr>
          <w:rFonts w:hint="default" w:ascii="Times New Roman" w:hAnsi="Times New Roman" w:eastAsia="宋体" w:cs="Times New Roman"/>
          <w:sz w:val="24"/>
          <w:u w:val="none"/>
        </w:rPr>
        <w:t>t/a）用量的20%，则调和过程中添加水量</w:t>
      </w:r>
      <w:r>
        <w:rPr>
          <w:rFonts w:hint="eastAsia" w:cs="Times New Roman"/>
          <w:sz w:val="24"/>
          <w:u w:val="none"/>
          <w:lang w:val="en-US" w:eastAsia="zh-CN"/>
        </w:rPr>
        <w:t>1450</w:t>
      </w:r>
      <w:r>
        <w:rPr>
          <w:rFonts w:hint="default" w:ascii="Times New Roman" w:hAnsi="Times New Roman" w:eastAsia="宋体" w:cs="Times New Roman"/>
          <w:sz w:val="24"/>
          <w:u w:val="none"/>
        </w:rPr>
        <w:t>t/a，调和工序不产生废水，水均进入产品中。</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b.地面冲洗废水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本项目地面冲洗废水产生量按排污系数为0.9核算，则本项目地面冲洗废水产生量约为</w:t>
      </w:r>
      <w:r>
        <w:rPr>
          <w:rFonts w:hint="eastAsia" w:cs="Times New Roman"/>
          <w:color w:val="000000" w:themeColor="text1"/>
          <w:sz w:val="24"/>
          <w:lang w:val="en-US" w:eastAsia="zh-CN"/>
          <w14:textFill>
            <w14:solidFill>
              <w14:schemeClr w14:val="tx1"/>
            </w14:solidFill>
          </w14:textFill>
        </w:rPr>
        <w:t>3.32</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996.3</w:t>
      </w:r>
      <w:r>
        <w:rPr>
          <w:rFonts w:hint="default" w:ascii="Times New Roman" w:hAnsi="Times New Roman" w:eastAsia="宋体" w:cs="Times New Roman"/>
          <w:color w:val="000000" w:themeColor="text1"/>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c.设备清洗废水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本项目设备清洗废水产生量按排污系数为0.9核算，则本项目设备清洗废水产生量约为</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d.锅炉废水</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本项目炉房内设置一台2t/h燃烧</w:t>
      </w:r>
      <w:r>
        <w:rPr>
          <w:rFonts w:hint="eastAsia" w:cs="Times New Roman"/>
          <w:color w:val="000000" w:themeColor="text1"/>
          <w:sz w:val="24"/>
          <w:lang w:val="en-US"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锅炉用于米粉烘干供热，年产</w:t>
      </w:r>
      <w:r>
        <w:rPr>
          <w:rFonts w:hint="eastAsia" w:cs="Times New Roman"/>
          <w:color w:val="000000" w:themeColor="text1"/>
          <w:sz w:val="24"/>
          <w:lang w:val="en-US" w:eastAsia="zh-CN"/>
          <w14:textFill>
            <w14:solidFill>
              <w14:schemeClr w14:val="tx1"/>
            </w14:solidFill>
          </w14:textFill>
        </w:rPr>
        <w:t>10000吨</w:t>
      </w:r>
      <w:r>
        <w:rPr>
          <w:rFonts w:hint="default" w:ascii="Times New Roman" w:hAnsi="Times New Roman" w:eastAsia="宋体" w:cs="Times New Roman"/>
          <w:color w:val="000000" w:themeColor="text1"/>
          <w:sz w:val="24"/>
          <w14:textFill>
            <w14:solidFill>
              <w14:schemeClr w14:val="tx1"/>
            </w14:solidFill>
          </w14:textFill>
        </w:rPr>
        <w:t>米粉，锅炉废水（包括锅炉排污水、软化处理废水），参照《排放源统计调查产排污核算方法和系数手册》中“4430工业锅炉行业系数手册”-工业锅炉（热力生产和供应行业）产污系数表-工业废水量产污系数为</w:t>
      </w:r>
      <w:r>
        <w:rPr>
          <w:rFonts w:hint="eastAsia" w:cs="Times New Roman"/>
          <w:color w:val="000000" w:themeColor="text1"/>
          <w:sz w:val="24"/>
          <w:lang w:val="en-US" w:eastAsia="zh-CN"/>
          <w14:textFill>
            <w14:solidFill>
              <w14:schemeClr w14:val="tx1"/>
            </w14:solidFill>
          </w14:textFill>
        </w:rPr>
        <w:t>0.356</w:t>
      </w:r>
      <w:r>
        <w:rPr>
          <w:rFonts w:hint="default" w:ascii="Times New Roman" w:hAnsi="Times New Roman" w:eastAsia="宋体" w:cs="Times New Roman"/>
          <w:color w:val="000000" w:themeColor="text1"/>
          <w:sz w:val="24"/>
          <w14:textFill>
            <w14:solidFill>
              <w14:schemeClr w14:val="tx1"/>
            </w14:solidFill>
          </w14:textFill>
        </w:rPr>
        <w:t>t/</w:t>
      </w:r>
      <w:r>
        <w:rPr>
          <w:rFonts w:hint="eastAsia" w:cs="Times New Roman"/>
          <w:color w:val="000000" w:themeColor="text1"/>
          <w:sz w:val="24"/>
          <w:lang w:val="en-US" w:eastAsia="zh-CN"/>
          <w14:textFill>
            <w14:solidFill>
              <w14:schemeClr w14:val="tx1"/>
            </w14:solidFill>
          </w14:textFill>
        </w:rPr>
        <w:t>吨</w:t>
      </w:r>
      <w:r>
        <w:rPr>
          <w:rFonts w:hint="default" w:ascii="Times New Roman" w:hAnsi="Times New Roman" w:eastAsia="宋体" w:cs="Times New Roman"/>
          <w:color w:val="000000" w:themeColor="text1"/>
          <w:sz w:val="24"/>
          <w14:textFill>
            <w14:solidFill>
              <w14:schemeClr w14:val="tx1"/>
            </w14:solidFill>
          </w14:textFill>
        </w:rPr>
        <w:t>-原料（锅炉排污水-软化处理废水），本项目</w:t>
      </w:r>
      <w:r>
        <w:rPr>
          <w:rFonts w:hint="eastAsia" w:cs="Times New Roman"/>
          <w:color w:val="000000" w:themeColor="text1"/>
          <w:sz w:val="24"/>
          <w:lang w:val="en-US" w:eastAsia="zh-CN"/>
          <w14:textFill>
            <w14:solidFill>
              <w14:schemeClr w14:val="tx1"/>
            </w14:solidFill>
          </w14:textFill>
        </w:rPr>
        <w:t>生物质颗粒</w:t>
      </w:r>
      <w:r>
        <w:rPr>
          <w:rFonts w:hint="default" w:ascii="Times New Roman" w:hAnsi="Times New Roman" w:eastAsia="宋体" w:cs="Times New Roman"/>
          <w:color w:val="000000" w:themeColor="text1"/>
          <w:sz w:val="24"/>
          <w14:textFill>
            <w14:solidFill>
              <w14:schemeClr w14:val="tx1"/>
            </w14:solidFill>
          </w14:textFill>
        </w:rPr>
        <w:t>用量为</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吨，则</w:t>
      </w:r>
      <w:r>
        <w:rPr>
          <w:rFonts w:hint="eastAsia" w:cs="Times New Roman"/>
          <w:color w:val="000000" w:themeColor="text1"/>
          <w:sz w:val="24"/>
          <w:lang w:val="en-US" w:eastAsia="zh-CN"/>
          <w14:textFill>
            <w14:solidFill>
              <w14:schemeClr w14:val="tx1"/>
            </w14:solidFill>
          </w14:textFill>
        </w:rPr>
        <w:t>锅炉排污水和软化废水</w:t>
      </w:r>
      <w:r>
        <w:rPr>
          <w:rFonts w:hint="default" w:ascii="Times New Roman" w:hAnsi="Times New Roman" w:eastAsia="宋体" w:cs="Times New Roman"/>
          <w:color w:val="000000" w:themeColor="text1"/>
          <w:sz w:val="24"/>
          <w14:textFill>
            <w14:solidFill>
              <w14:schemeClr w14:val="tx1"/>
            </w14:solidFill>
          </w14:textFill>
        </w:rPr>
        <w:t>产生量约为</w:t>
      </w:r>
      <w:r>
        <w:rPr>
          <w:rFonts w:hint="eastAsia" w:cs="Times New Roman"/>
          <w:color w:val="000000" w:themeColor="text1"/>
          <w:sz w:val="24"/>
          <w:lang w:val="en-US" w:eastAsia="zh-CN"/>
          <w14:textFill>
            <w14:solidFill>
              <w14:schemeClr w14:val="tx1"/>
            </w14:solidFill>
          </w14:textFill>
        </w:rPr>
        <w:t>0.356</w:t>
      </w:r>
      <w:r>
        <w:rPr>
          <w:rFonts w:hint="default" w:ascii="Times New Roman" w:hAnsi="Times New Roman" w:eastAsia="宋体" w:cs="Times New Roman"/>
          <w:color w:val="000000" w:themeColor="text1"/>
          <w:sz w:val="24"/>
          <w14:textFill>
            <w14:solidFill>
              <w14:schemeClr w14:val="tx1"/>
            </w14:solidFill>
          </w14:textFill>
        </w:rPr>
        <w:t>t/t产品×</w:t>
      </w:r>
      <w:r>
        <w:rPr>
          <w:rFonts w:hint="eastAsia" w:cs="Times New Roman"/>
          <w:color w:val="000000" w:themeColor="text1"/>
          <w:sz w:val="24"/>
          <w:lang w:val="en-US" w:eastAsia="zh-CN"/>
          <w14:textFill>
            <w14:solidFill>
              <w14:schemeClr w14:val="tx1"/>
            </w14:solidFill>
          </w14:textFill>
        </w:rPr>
        <w:t>540</w:t>
      </w:r>
      <w:r>
        <w:rPr>
          <w:rFonts w:hint="default" w:ascii="Times New Roman" w:hAnsi="Times New Roman" w:eastAsia="宋体" w:cs="Times New Roman"/>
          <w:color w:val="000000" w:themeColor="text1"/>
          <w:sz w:val="24"/>
          <w14:textFill>
            <w14:solidFill>
              <w14:schemeClr w14:val="tx1"/>
            </w14:solidFill>
          </w14:textFill>
        </w:rPr>
        <w:t>t原料/a=</w:t>
      </w:r>
      <w:r>
        <w:rPr>
          <w:rFonts w:hint="eastAsia" w:cs="Times New Roman"/>
          <w:color w:val="000000" w:themeColor="text1"/>
          <w:sz w:val="24"/>
          <w:lang w:val="en-US" w:eastAsia="zh-CN"/>
          <w14:textFill>
            <w14:solidFill>
              <w14:schemeClr w14:val="tx1"/>
            </w14:solidFill>
          </w14:textFill>
        </w:rPr>
        <w:t>192.24</w:t>
      </w:r>
      <w:r>
        <w:rPr>
          <w:rFonts w:hint="default" w:ascii="Times New Roman" w:hAnsi="Times New Roman" w:eastAsia="宋体" w:cs="Times New Roman"/>
          <w:color w:val="000000" w:themeColor="text1"/>
          <w:sz w:val="24"/>
          <w14:textFill>
            <w14:solidFill>
              <w14:schemeClr w14:val="tx1"/>
            </w14:solidFill>
          </w14:textFill>
        </w:rPr>
        <w:t>t/a（约</w:t>
      </w:r>
      <w:r>
        <w:rPr>
          <w:rFonts w:hint="eastAsia" w:cs="Times New Roman"/>
          <w:color w:val="000000" w:themeColor="text1"/>
          <w:sz w:val="24"/>
          <w:lang w:val="en-US" w:eastAsia="zh-CN"/>
          <w14:textFill>
            <w14:solidFill>
              <w14:schemeClr w14:val="tx1"/>
            </w14:solidFill>
          </w14:textFill>
        </w:rPr>
        <w:t>0.641</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/d，按年生产</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天核算）。一台2t/h燃烧</w:t>
      </w:r>
      <w:r>
        <w:rPr>
          <w:rFonts w:hint="eastAsia" w:cs="Times New Roman"/>
          <w:color w:val="000000" w:themeColor="text1"/>
          <w:sz w:val="24"/>
          <w:lang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锅炉每小时可以产生出2吨蒸汽，每产生2t蒸汽需要消耗2t的水，使用的燃料为</w:t>
      </w:r>
      <w:r>
        <w:rPr>
          <w:rFonts w:hint="eastAsia" w:cs="Times New Roman"/>
          <w:color w:val="000000" w:themeColor="text1"/>
          <w:sz w:val="24"/>
          <w:lang w:val="en-US" w:eastAsia="zh-CN"/>
          <w14:textFill>
            <w14:solidFill>
              <w14:schemeClr w14:val="tx1"/>
            </w14:solidFill>
          </w14:textFill>
        </w:rPr>
        <w:t>生物质</w:t>
      </w:r>
      <w:r>
        <w:rPr>
          <w:rFonts w:hint="default" w:ascii="Times New Roman" w:hAnsi="Times New Roman" w:eastAsia="宋体" w:cs="Times New Roman"/>
          <w:color w:val="000000" w:themeColor="text1"/>
          <w:sz w:val="24"/>
          <w14:textFill>
            <w14:solidFill>
              <w14:schemeClr w14:val="tx1"/>
            </w14:solidFill>
          </w14:textFill>
        </w:rPr>
        <w:t>燃烧，则锅炉消耗量为2t/h×8h×</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d=4</w:t>
      </w:r>
      <w:r>
        <w:rPr>
          <w:rFonts w:hint="eastAsia" w:cs="Times New Roman"/>
          <w:color w:val="000000" w:themeColor="text1"/>
          <w:sz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14:textFill>
            <w14:solidFill>
              <w14:schemeClr w14:val="tx1"/>
            </w14:solidFill>
          </w14:textFill>
        </w:rPr>
        <w:t>t/a（约16m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/d，按年生产</w:t>
      </w:r>
      <w:r>
        <w:rPr>
          <w:rFonts w:hint="eastAsia"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14:textFill>
            <w14:solidFill>
              <w14:schemeClr w14:val="tx1"/>
            </w14:solidFill>
          </w14:textFill>
        </w:rPr>
        <w:t>天核算）。</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rPr>
        <w:t>综上，</w:t>
      </w:r>
      <w:r>
        <w:rPr>
          <w:rFonts w:hint="default" w:ascii="Times New Roman" w:hAnsi="Times New Roman" w:eastAsia="宋体" w:cs="Times New Roman"/>
          <w:sz w:val="24"/>
        </w:rPr>
        <w:t>本项目废水的产生情况见下表。</w:t>
      </w:r>
    </w:p>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项目废水产生一览表</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847"/>
        <w:gridCol w:w="1259"/>
        <w:gridCol w:w="1769"/>
        <w:gridCol w:w="1326"/>
        <w:gridCol w:w="909"/>
        <w:gridCol w:w="873"/>
        <w:gridCol w:w="839"/>
        <w:gridCol w:w="839"/>
        <w:gridCol w:w="8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污染源</w:t>
            </w:r>
          </w:p>
        </w:tc>
        <w:tc>
          <w:tcPr>
            <w:tcW w:w="66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废水产生量</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COD</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BOD</w:t>
            </w:r>
            <w:r>
              <w:rPr>
                <w:rFonts w:hint="default" w:ascii="Times New Roman" w:hAnsi="Times New Roman" w:eastAsia="宋体" w:cs="Times New Roman"/>
                <w:b/>
                <w:color w:val="000000" w:themeColor="text1"/>
                <w:sz w:val="21"/>
                <w:szCs w:val="21"/>
                <w:vertAlign w:val="subscript"/>
                <w14:textFill>
                  <w14:solidFill>
                    <w14:schemeClr w14:val="tx1"/>
                  </w14:solidFill>
                </w14:textFill>
              </w:rPr>
              <w:t>5</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SS</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NH</w:t>
            </w:r>
            <w:r>
              <w:rPr>
                <w:rFonts w:hint="default" w:ascii="Times New Roman" w:hAnsi="Times New Roman" w:eastAsia="宋体" w:cs="Times New Roman"/>
                <w:b/>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-N</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TN</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661" w:type="pct"/>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2520</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50</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180</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250</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40</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882</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454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63</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101</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w:t>
            </w:r>
            <w:r>
              <w:rPr>
                <w:rFonts w:hint="eastAsia" w:cs="Times New Roman"/>
                <w:color w:val="000000" w:themeColor="text1"/>
                <w:kern w:val="0"/>
                <w:sz w:val="21"/>
                <w:szCs w:val="2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生产废水</w:t>
            </w:r>
          </w:p>
        </w:tc>
        <w:tc>
          <w:tcPr>
            <w:tcW w:w="661" w:type="pct"/>
            <w:vMerge w:val="restart"/>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13788.3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10946.09</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395.99</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395.99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26.54</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84.06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14:textFill>
                  <w14:solidFill>
                    <w14:schemeClr w14:val="tx1"/>
                  </w14:solidFill>
                </w14:textFill>
              </w:rPr>
              <w:t>157.09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150.928</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5.46</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5.46</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366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1.159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restar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综合</w:t>
            </w:r>
            <w:r>
              <w:rPr>
                <w:rFonts w:hint="default" w:ascii="Times New Roman" w:hAnsi="Times New Roman" w:eastAsia="宋体" w:cs="Times New Roman"/>
                <w:color w:val="000000" w:themeColor="text1"/>
                <w:spacing w:val="6"/>
                <w:sz w:val="21"/>
                <w:szCs w:val="21"/>
                <w14:textFill>
                  <w14:solidFill>
                    <w14:schemeClr w14:val="tx1"/>
                  </w14:solidFill>
                </w14:textFill>
              </w:rPr>
              <w:t>废水产生情况</w:t>
            </w:r>
          </w:p>
        </w:tc>
        <w:tc>
          <w:tcPr>
            <w:tcW w:w="661" w:type="pct"/>
            <w:vMerge w:val="restart"/>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9308.76</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362.64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73.43</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26.31</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77.26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134.35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46"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1" w:type="pct"/>
            <w:vMerge w:val="continue"/>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151.81</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5.914</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429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06"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本次评价要求</w:t>
            </w:r>
            <w:r>
              <w:rPr>
                <w:rFonts w:hint="default" w:ascii="Times New Roman" w:hAnsi="Times New Roman" w:eastAsia="宋体" w:cs="Times New Roman"/>
                <w:color w:val="000000" w:themeColor="text1"/>
                <w:sz w:val="21"/>
                <w:szCs w:val="21"/>
                <w14:textFill>
                  <w14:solidFill>
                    <w14:schemeClr w14:val="tx1"/>
                  </w14:solidFill>
                </w14:textFill>
              </w:rPr>
              <w:t>采取的措施</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格栅+调节+</w:t>
            </w:r>
            <w:r>
              <w:rPr>
                <w:rFonts w:hint="eastAsia" w:cs="Times New Roman"/>
                <w:color w:val="000000" w:themeColor="text1"/>
                <w:sz w:val="2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厌氧+好氧+二次沉淀+清水池（消毒）+砂过滤</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去除效率%</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9</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5</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06"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处理后排放量</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处理后排放量：t/a</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1.518</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0.296</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0.305</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0.086</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0.315</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14:textFill>
                  <w14:solidFill>
                    <w14:schemeClr w14:val="tx1"/>
                  </w14:solidFill>
                </w14:textFill>
              </w:rPr>
              <w:t>1.315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4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处理后的浓度</w:t>
            </w:r>
          </w:p>
        </w:tc>
        <w:tc>
          <w:tcPr>
            <w:tcW w:w="661"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16308.3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处理后的浓度</w:t>
            </w:r>
            <w:r>
              <w:rPr>
                <w:rFonts w:hint="default" w:ascii="Times New Roman" w:hAnsi="Times New Roman" w:eastAsia="宋体" w:cs="Times New Roman"/>
                <w:color w:val="000000" w:themeColor="text1"/>
                <w:sz w:val="21"/>
                <w:szCs w:val="21"/>
                <w14:textFill>
                  <w14:solidFill>
                    <w14:schemeClr w14:val="tx1"/>
                  </w14:solidFill>
                </w14:textFill>
              </w:rPr>
              <w:t>浓度：mg/L</w:t>
            </w:r>
          </w:p>
        </w:tc>
        <w:tc>
          <w:tcPr>
            <w:tcW w:w="69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93</w:t>
            </w:r>
          </w:p>
        </w:tc>
        <w:tc>
          <w:tcPr>
            <w:tcW w:w="478"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18</w:t>
            </w:r>
          </w:p>
        </w:tc>
        <w:tc>
          <w:tcPr>
            <w:tcW w:w="459"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19</w:t>
            </w:r>
          </w:p>
        </w:tc>
        <w:tc>
          <w:tcPr>
            <w:tcW w:w="441"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5.3</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19</w:t>
            </w:r>
          </w:p>
        </w:tc>
        <w:tc>
          <w:tcPr>
            <w:tcW w:w="4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1108" w:type="pct"/>
            <w:gridSpan w:val="2"/>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污水综合排放</w:t>
            </w:r>
            <w:r>
              <w:rPr>
                <w:rFonts w:hint="default" w:ascii="Times New Roman" w:hAnsi="Times New Roman" w:eastAsia="宋体" w:cs="Times New Roman"/>
                <w:bCs/>
                <w:color w:val="000000" w:themeColor="text1"/>
                <w:sz w:val="21"/>
                <w:szCs w:val="21"/>
                <w14:textFill>
                  <w14:solidFill>
                    <w14:schemeClr w14:val="tx1"/>
                  </w14:solidFill>
                </w14:textFill>
              </w:rPr>
              <w:t>标准》（GB</w:t>
            </w:r>
            <w:r>
              <w:rPr>
                <w:rFonts w:hint="eastAsia" w:cs="Times New Roman"/>
                <w:bCs/>
                <w:color w:val="000000" w:themeColor="text1"/>
                <w:sz w:val="21"/>
                <w:szCs w:val="21"/>
                <w:lang w:val="en-US" w:eastAsia="zh-CN"/>
                <w14:textFill>
                  <w14:solidFill>
                    <w14:schemeClr w14:val="tx1"/>
                  </w14:solidFill>
                </w14:textFill>
              </w:rPr>
              <w:t>8978</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1996</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一级</w:t>
            </w:r>
            <w:r>
              <w:rPr>
                <w:rFonts w:hint="default" w:ascii="Times New Roman" w:hAnsi="Times New Roman" w:eastAsia="宋体" w:cs="Times New Roman"/>
                <w:bCs/>
                <w:color w:val="000000" w:themeColor="text1"/>
                <w:sz w:val="21"/>
                <w:szCs w:val="21"/>
                <w14:textFill>
                  <w14:solidFill>
                    <w14:schemeClr w14:val="tx1"/>
                  </w14:solidFill>
                </w14:textFill>
              </w:rPr>
              <w:t>标准</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00</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70</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15</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1108" w:type="pct"/>
            <w:gridSpan w:val="2"/>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是否达标</w:t>
            </w:r>
          </w:p>
        </w:tc>
        <w:tc>
          <w:tcPr>
            <w:tcW w:w="93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6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7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5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达标</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hint="default"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4.2影响分析</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baseline"/>
        <w:outlineLvl w:val="9"/>
        <w:rPr>
          <w:b/>
          <w:bCs/>
          <w:sz w:val="24"/>
          <w:szCs w:val="24"/>
        </w:rPr>
      </w:pPr>
      <w:r>
        <w:rPr>
          <w:rFonts w:hint="eastAsia"/>
          <w:b/>
          <w:bCs/>
          <w:sz w:val="24"/>
          <w:szCs w:val="24"/>
          <w:lang w:val="en-US" w:eastAsia="zh-CN"/>
        </w:rPr>
        <w:t>4.2.1</w:t>
      </w:r>
      <w:r>
        <w:rPr>
          <w:b/>
          <w:bCs/>
          <w:sz w:val="24"/>
          <w:szCs w:val="24"/>
        </w:rPr>
        <w:t>预测时段和预测因子</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 xml:space="preserve">1、预测时段 </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预测内容为</w:t>
      </w:r>
      <w:r>
        <w:rPr>
          <w:rFonts w:hint="eastAsia" w:cs="Times New Roman"/>
          <w:color w:val="000000"/>
          <w:sz w:val="24"/>
          <w:u w:val="none"/>
          <w:lang w:val="en-US" w:eastAsia="zh-CN"/>
        </w:rPr>
        <w:t>黄蜡河</w:t>
      </w:r>
      <w:r>
        <w:rPr>
          <w:rFonts w:hint="eastAsia" w:ascii="Times New Roman" w:hAnsi="Times New Roman" w:eastAsia="宋体" w:cs="Times New Roman"/>
          <w:color w:val="000000"/>
          <w:sz w:val="24"/>
          <w:u w:val="none"/>
          <w:lang w:val="en-US" w:eastAsia="zh-CN"/>
        </w:rPr>
        <w:t>支流</w:t>
      </w:r>
      <w:r>
        <w:rPr>
          <w:rFonts w:hint="default" w:ascii="Times New Roman" w:hAnsi="Times New Roman" w:eastAsia="宋体" w:cs="Times New Roman"/>
          <w:color w:val="000000"/>
          <w:sz w:val="24"/>
          <w:u w:val="none"/>
        </w:rPr>
        <w:t>枯水期，</w:t>
      </w:r>
      <w:r>
        <w:rPr>
          <w:rFonts w:hint="eastAsia" w:ascii="Times New Roman" w:hAnsi="Times New Roman" w:eastAsia="宋体" w:cs="Times New Roman"/>
          <w:color w:val="000000"/>
          <w:sz w:val="24"/>
          <w:u w:val="none"/>
          <w:lang w:val="en-US" w:eastAsia="zh-CN"/>
        </w:rPr>
        <w:t>本项目</w:t>
      </w:r>
      <w:r>
        <w:rPr>
          <w:rFonts w:hint="default" w:ascii="Times New Roman" w:hAnsi="Times New Roman" w:eastAsia="宋体" w:cs="Times New Roman"/>
          <w:color w:val="000000"/>
          <w:sz w:val="24"/>
          <w:u w:val="none"/>
        </w:rPr>
        <w:t>废水处理站正常排放和事故排放情况下，对</w:t>
      </w:r>
      <w:r>
        <w:rPr>
          <w:rFonts w:hint="eastAsia" w:cs="Times New Roman"/>
          <w:color w:val="000000"/>
          <w:sz w:val="24"/>
          <w:u w:val="none"/>
          <w:lang w:val="en-US" w:eastAsia="zh-CN"/>
        </w:rPr>
        <w:t>黄蜡河</w:t>
      </w:r>
      <w:r>
        <w:rPr>
          <w:rFonts w:hint="eastAsia" w:ascii="Times New Roman" w:hAnsi="Times New Roman" w:eastAsia="宋体" w:cs="Times New Roman"/>
          <w:color w:val="000000"/>
          <w:sz w:val="24"/>
          <w:u w:val="none"/>
          <w:lang w:val="en-US" w:eastAsia="zh-CN"/>
        </w:rPr>
        <w:t>支流</w:t>
      </w:r>
      <w:r>
        <w:rPr>
          <w:rFonts w:hint="default" w:ascii="Times New Roman" w:hAnsi="Times New Roman" w:eastAsia="宋体" w:cs="Times New Roman"/>
          <w:color w:val="000000"/>
          <w:sz w:val="24"/>
          <w:u w:val="none"/>
        </w:rPr>
        <w:t xml:space="preserve">的水质影响。 </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 xml:space="preserve">2、预测因子 </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根据国家和省市环保部门对实施污染物排放总量控制的要求以及</w:t>
      </w:r>
      <w:r>
        <w:rPr>
          <w:rFonts w:hint="eastAsia" w:ascii="Times New Roman" w:hAnsi="Times New Roman" w:eastAsia="宋体" w:cs="Times New Roman"/>
          <w:color w:val="000000"/>
          <w:sz w:val="24"/>
          <w:u w:val="none"/>
          <w:lang w:val="en-US" w:eastAsia="zh-CN"/>
        </w:rPr>
        <w:t>项目</w:t>
      </w:r>
      <w:r>
        <w:rPr>
          <w:rFonts w:hint="eastAsia" w:ascii="Times New Roman" w:hAnsi="Times New Roman" w:eastAsia="宋体" w:cs="Times New Roman"/>
          <w:color w:val="000000"/>
          <w:sz w:val="24"/>
          <w:u w:val="none"/>
        </w:rPr>
        <w:t>排放废水</w:t>
      </w:r>
      <w:r>
        <w:rPr>
          <w:rFonts w:hint="default" w:ascii="Times New Roman" w:hAnsi="Times New Roman" w:eastAsia="宋体" w:cs="Times New Roman"/>
          <w:color w:val="000000"/>
          <w:sz w:val="24"/>
          <w:u w:val="none"/>
        </w:rPr>
        <w:t>的特点，预测对</w:t>
      </w:r>
      <w:r>
        <w:rPr>
          <w:rFonts w:hint="eastAsia" w:cs="Times New Roman"/>
          <w:color w:val="000000"/>
          <w:sz w:val="24"/>
          <w:u w:val="none"/>
          <w:lang w:val="en-US" w:eastAsia="zh-CN"/>
        </w:rPr>
        <w:t>黄蜡河</w:t>
      </w:r>
      <w:r>
        <w:rPr>
          <w:rFonts w:hint="eastAsia" w:ascii="Times New Roman" w:hAnsi="Times New Roman" w:eastAsia="宋体" w:cs="Times New Roman"/>
          <w:color w:val="000000"/>
          <w:sz w:val="24"/>
          <w:u w:val="none"/>
          <w:lang w:val="en-US" w:eastAsia="zh-CN"/>
        </w:rPr>
        <w:t>支流</w:t>
      </w:r>
      <w:r>
        <w:rPr>
          <w:rFonts w:hint="default" w:ascii="Times New Roman" w:hAnsi="Times New Roman" w:eastAsia="宋体" w:cs="Times New Roman"/>
          <w:color w:val="000000"/>
          <w:sz w:val="24"/>
          <w:u w:val="none"/>
        </w:rPr>
        <w:t xml:space="preserve">影响因子选择COD、NH3-N。 </w:t>
      </w:r>
    </w:p>
    <w:p>
      <w:pPr>
        <w:spacing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 xml:space="preserve">3、预测范围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lang w:val="en-US" w:eastAsia="zh-CN"/>
        </w:rPr>
        <w:t>覆盖现状调查范围，即项目排污口上游500m至下游</w:t>
      </w:r>
      <w:r>
        <w:rPr>
          <w:rFonts w:hint="eastAsia" w:cs="Times New Roman"/>
          <w:color w:val="000000"/>
          <w:sz w:val="24"/>
          <w:u w:val="none"/>
          <w:lang w:val="en-US" w:eastAsia="zh-CN"/>
        </w:rPr>
        <w:t>30</w:t>
      </w:r>
      <w:r>
        <w:rPr>
          <w:rFonts w:hint="eastAsia" w:ascii="Times New Roman" w:hAnsi="Times New Roman" w:eastAsia="宋体" w:cs="Times New Roman"/>
          <w:color w:val="000000"/>
          <w:sz w:val="24"/>
          <w:u w:val="none"/>
          <w:lang w:val="en-US" w:eastAsia="zh-CN"/>
        </w:rPr>
        <w:t>00m</w:t>
      </w:r>
      <w:r>
        <w:rPr>
          <w:rFonts w:hint="default" w:ascii="Times New Roman" w:hAnsi="Times New Roman" w:eastAsia="宋体" w:cs="Times New Roman"/>
          <w:color w:val="000000"/>
          <w:sz w:val="24"/>
          <w:u w:val="none"/>
        </w:rPr>
        <w:t xml:space="preserve">。 </w:t>
      </w:r>
    </w:p>
    <w:p>
      <w:pPr>
        <w:pStyle w:val="111"/>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背景浓度</w:t>
      </w:r>
    </w:p>
    <w:p>
      <w:pPr>
        <w:pStyle w:val="1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kern w:val="0"/>
          <w:sz w:val="24"/>
          <w:szCs w:val="24"/>
          <w:lang w:eastAsia="zh-CN" w:bidi="ar"/>
        </w:rPr>
      </w:pPr>
      <w:r>
        <w:rPr>
          <w:rFonts w:hint="eastAsia"/>
          <w:color w:val="000000"/>
          <w:kern w:val="0"/>
          <w:sz w:val="24"/>
          <w:szCs w:val="24"/>
          <w:lang w:val="en-US" w:eastAsia="zh-CN" w:bidi="ar"/>
        </w:rPr>
        <w:t>黄蜡河背景浓度值参考中渡河数据，</w:t>
      </w:r>
      <w:r>
        <w:rPr>
          <w:rFonts w:hint="eastAsia"/>
          <w:color w:val="000000"/>
          <w:kern w:val="0"/>
          <w:sz w:val="24"/>
          <w:szCs w:val="24"/>
          <w:lang w:eastAsia="zh-CN" w:bidi="ar"/>
        </w:rPr>
        <w:t>具体见下表：</w:t>
      </w:r>
    </w:p>
    <w:p>
      <w:pPr>
        <w:pStyle w:val="111"/>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eastAsia="zh-CN" w:bidi="ar"/>
        </w:rPr>
        <w:t>表</w:t>
      </w:r>
      <w:r>
        <w:rPr>
          <w:rFonts w:hint="eastAsia" w:ascii="Times New Roman" w:hAnsi="Times New Roman" w:cs="Times New Roman"/>
          <w:b/>
          <w:bCs/>
          <w:color w:val="000000"/>
          <w:kern w:val="0"/>
          <w:sz w:val="24"/>
          <w:szCs w:val="24"/>
          <w:lang w:val="en-US" w:eastAsia="zh-CN" w:bidi="ar"/>
        </w:rPr>
        <w:t>4.2-1</w:t>
      </w:r>
      <w:r>
        <w:rPr>
          <w:rFonts w:hint="default" w:ascii="Times New Roman" w:hAnsi="Times New Roman" w:cs="Times New Roman"/>
          <w:b/>
          <w:bCs/>
          <w:color w:val="000000"/>
          <w:kern w:val="0"/>
          <w:sz w:val="24"/>
          <w:szCs w:val="24"/>
          <w:lang w:val="en-US" w:eastAsia="zh-CN" w:bidi="ar"/>
        </w:rPr>
        <w:t xml:space="preserve">  背景浓度值</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2437"/>
        <w:gridCol w:w="2504"/>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0" w:type="dxa"/>
          </w:tcPr>
          <w:p>
            <w:pPr>
              <w:pStyle w:val="111"/>
              <w:spacing w:line="240" w:lineRule="auto"/>
              <w:ind w:firstLine="0" w:firstLineChars="0"/>
              <w:jc w:val="center"/>
              <w:rPr>
                <w:rFonts w:ascii="Times New Roman" w:hAnsi="Times New Roman"/>
              </w:rPr>
            </w:pPr>
            <w:r>
              <w:rPr>
                <w:rFonts w:ascii="Times New Roman" w:hAnsi="Times New Roman"/>
              </w:rPr>
              <w:t>水系</w:t>
            </w:r>
          </w:p>
        </w:tc>
        <w:tc>
          <w:tcPr>
            <w:tcW w:w="1681" w:type="dxa"/>
            <w:vAlign w:val="center"/>
          </w:tcPr>
          <w:p>
            <w:pPr>
              <w:pStyle w:val="111"/>
              <w:spacing w:line="240" w:lineRule="auto"/>
              <w:ind w:firstLine="0" w:firstLineChars="0"/>
              <w:jc w:val="center"/>
              <w:rPr>
                <w:rFonts w:ascii="Times New Roman" w:hAnsi="Times New Roman"/>
              </w:rPr>
            </w:pPr>
            <w:r>
              <w:rPr>
                <w:rFonts w:ascii="Times New Roman" w:hAnsi="Times New Roman"/>
              </w:rPr>
              <w:t>流量m</w:t>
            </w:r>
            <w:r>
              <w:rPr>
                <w:rFonts w:ascii="Times New Roman" w:hAnsi="Times New Roman"/>
                <w:vertAlign w:val="superscript"/>
              </w:rPr>
              <w:t>3</w:t>
            </w:r>
            <w:r>
              <w:rPr>
                <w:rFonts w:ascii="Times New Roman" w:hAnsi="Times New Roman"/>
              </w:rPr>
              <w:t>/s</w:t>
            </w:r>
          </w:p>
        </w:tc>
        <w:tc>
          <w:tcPr>
            <w:tcW w:w="1727" w:type="dxa"/>
            <w:vAlign w:val="center"/>
          </w:tcPr>
          <w:p>
            <w:pPr>
              <w:pStyle w:val="111"/>
              <w:spacing w:line="240" w:lineRule="auto"/>
              <w:ind w:firstLine="0" w:firstLineChars="0"/>
              <w:jc w:val="center"/>
              <w:rPr>
                <w:rFonts w:ascii="Times New Roman" w:hAnsi="Times New Roman"/>
              </w:rPr>
            </w:pPr>
            <w:r>
              <w:rPr>
                <w:rFonts w:ascii="Times New Roman" w:hAnsi="Times New Roman"/>
              </w:rPr>
              <w:t>CODcr（mg/</w:t>
            </w:r>
            <w:r>
              <w:rPr>
                <w:rFonts w:hint="eastAsia" w:ascii="Times New Roman" w:hAnsi="Times New Roman"/>
                <w:lang w:val="en-US" w:eastAsia="zh-CN"/>
              </w:rPr>
              <w:t>L</w:t>
            </w:r>
            <w:r>
              <w:rPr>
                <w:rFonts w:ascii="Times New Roman" w:hAnsi="Times New Roman"/>
              </w:rPr>
              <w:t>）</w:t>
            </w:r>
          </w:p>
        </w:tc>
        <w:tc>
          <w:tcPr>
            <w:tcW w:w="1729" w:type="dxa"/>
            <w:vAlign w:val="center"/>
          </w:tcPr>
          <w:p>
            <w:pPr>
              <w:pStyle w:val="111"/>
              <w:spacing w:line="240" w:lineRule="auto"/>
              <w:ind w:firstLine="0" w:firstLineChars="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-N（mg/</w:t>
            </w:r>
            <w:r>
              <w:rPr>
                <w:rFonts w:hint="eastAsia" w:ascii="Times New Roman" w:hAnsi="Times New Roman"/>
                <w:lang w:val="en-US" w:eastAsia="zh-CN"/>
              </w:rPr>
              <w:t>L</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660" w:type="dxa"/>
          </w:tcPr>
          <w:p>
            <w:pPr>
              <w:pStyle w:val="111"/>
              <w:spacing w:line="240" w:lineRule="auto"/>
              <w:ind w:firstLine="0" w:firstLineChars="0"/>
              <w:jc w:val="center"/>
              <w:rPr>
                <w:rFonts w:hint="default" w:ascii="Times New Roman" w:hAnsi="Times New Roman" w:eastAsia="宋体"/>
                <w:lang w:val="en-US" w:eastAsia="zh-CN"/>
              </w:rPr>
            </w:pPr>
            <w:r>
              <w:rPr>
                <w:rFonts w:hint="eastAsia" w:ascii="Times New Roman" w:hAnsi="Times New Roman"/>
                <w:lang w:val="en-US" w:eastAsia="zh-CN"/>
              </w:rPr>
              <w:t>黄蜡河</w:t>
            </w:r>
          </w:p>
        </w:tc>
        <w:tc>
          <w:tcPr>
            <w:tcW w:w="1681" w:type="dxa"/>
            <w:vAlign w:val="center"/>
          </w:tcPr>
          <w:p>
            <w:pPr>
              <w:pStyle w:val="111"/>
              <w:spacing w:line="240" w:lineRule="auto"/>
              <w:ind w:firstLine="0" w:firstLineChars="0"/>
              <w:jc w:val="center"/>
              <w:rPr>
                <w:rFonts w:hint="default" w:ascii="Times New Roman" w:hAnsi="Times New Roman" w:eastAsia="宋体"/>
                <w:lang w:val="en-US" w:eastAsia="zh-CN"/>
              </w:rPr>
            </w:pPr>
            <w:r>
              <w:rPr>
                <w:rFonts w:hint="eastAsia" w:ascii="Times New Roman" w:hAnsi="Times New Roman"/>
                <w:lang w:val="en-US" w:eastAsia="zh-CN"/>
              </w:rPr>
              <w:t>0.1</w:t>
            </w:r>
          </w:p>
        </w:tc>
        <w:tc>
          <w:tcPr>
            <w:tcW w:w="1727" w:type="dxa"/>
          </w:tcPr>
          <w:p>
            <w:pPr>
              <w:pStyle w:val="111"/>
              <w:spacing w:line="240" w:lineRule="auto"/>
              <w:ind w:firstLine="0" w:firstLineChars="0"/>
              <w:jc w:val="center"/>
              <w:rPr>
                <w:rFonts w:hint="default" w:ascii="Times New Roman" w:hAnsi="Times New Roman" w:eastAsia="宋体"/>
                <w:lang w:val="en-US" w:eastAsia="zh-CN"/>
              </w:rPr>
            </w:pPr>
            <w:r>
              <w:rPr>
                <w:rFonts w:hint="eastAsia" w:ascii="Times New Roman" w:hAnsi="Times New Roman"/>
                <w:lang w:val="en-US" w:eastAsia="zh-CN"/>
              </w:rPr>
              <w:t>12.6</w:t>
            </w:r>
          </w:p>
        </w:tc>
        <w:tc>
          <w:tcPr>
            <w:tcW w:w="1729" w:type="dxa"/>
          </w:tcPr>
          <w:p>
            <w:pPr>
              <w:pStyle w:val="111"/>
              <w:spacing w:line="240" w:lineRule="auto"/>
              <w:ind w:firstLine="0" w:firstLineChars="0"/>
              <w:jc w:val="center"/>
              <w:rPr>
                <w:rFonts w:hint="default" w:ascii="Times New Roman" w:hAnsi="Times New Roman" w:eastAsia="宋体"/>
                <w:lang w:val="en-US" w:eastAsia="zh-CN"/>
              </w:rPr>
            </w:pPr>
            <w:r>
              <w:rPr>
                <w:rFonts w:hint="eastAsia" w:ascii="Times New Roman" w:hAnsi="Times New Roman"/>
                <w:lang w:val="en-US" w:eastAsia="zh-CN"/>
              </w:rPr>
              <w:t>0.05</w:t>
            </w:r>
          </w:p>
        </w:tc>
      </w:tr>
    </w:tbl>
    <w:p>
      <w:pPr>
        <w:pStyle w:val="1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kern w:val="0"/>
          <w:lang w:val="en-US" w:eastAsia="zh-CN" w:bidi="ar"/>
        </w:rPr>
      </w:pPr>
    </w:p>
    <w:p>
      <w:pPr>
        <w:pStyle w:val="111"/>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rPr>
      </w:pPr>
      <w:r>
        <w:rPr>
          <w:rFonts w:hint="eastAsia" w:ascii="Times New Roman" w:hAnsi="Times New Roman"/>
          <w:color w:val="000000"/>
          <w:kern w:val="0"/>
          <w:sz w:val="24"/>
          <w:szCs w:val="24"/>
          <w:lang w:val="en-US" w:eastAsia="zh-CN" w:bidi="ar"/>
        </w:rPr>
        <w:t>4.2.2</w:t>
      </w:r>
      <w:r>
        <w:rPr>
          <w:rFonts w:ascii="Times New Roman" w:hAnsi="Times New Roman"/>
          <w:color w:val="000000"/>
          <w:kern w:val="0"/>
          <w:sz w:val="24"/>
          <w:szCs w:val="24"/>
          <w:lang w:bidi="ar"/>
        </w:rPr>
        <w:t>预测影响程度的方法</w:t>
      </w:r>
    </w:p>
    <w:p>
      <w:pPr>
        <w:spacing w:line="360" w:lineRule="auto"/>
        <w:ind w:firstLine="480" w:firstLineChars="200"/>
        <w:rPr>
          <w:rFonts w:hint="default"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lang w:val="en-US" w:eastAsia="zh-CN"/>
        </w:rPr>
        <w:t>本项目</w:t>
      </w:r>
      <w:r>
        <w:rPr>
          <w:rFonts w:hint="default" w:ascii="Times New Roman" w:hAnsi="Times New Roman" w:eastAsia="宋体" w:cs="Times New Roman"/>
          <w:color w:val="000000"/>
          <w:sz w:val="24"/>
          <w:u w:val="none"/>
        </w:rPr>
        <w:t>纳污河流为</w:t>
      </w:r>
      <w:r>
        <w:rPr>
          <w:rFonts w:hint="eastAsia" w:cs="Times New Roman"/>
          <w:color w:val="000000"/>
          <w:sz w:val="24"/>
          <w:u w:val="none"/>
          <w:lang w:val="en-US" w:eastAsia="zh-CN"/>
        </w:rPr>
        <w:t>黄蜡河</w:t>
      </w:r>
      <w:r>
        <w:rPr>
          <w:rFonts w:hint="eastAsia" w:ascii="Times New Roman" w:hAnsi="Times New Roman" w:eastAsia="宋体" w:cs="Times New Roman"/>
          <w:color w:val="000000"/>
          <w:sz w:val="24"/>
          <w:u w:val="none"/>
          <w:lang w:val="en-US" w:eastAsia="zh-CN"/>
        </w:rPr>
        <w:t>支流</w:t>
      </w:r>
      <w:r>
        <w:rPr>
          <w:rFonts w:hint="default" w:ascii="Times New Roman" w:hAnsi="Times New Roman" w:eastAsia="宋体" w:cs="Times New Roman"/>
          <w:color w:val="000000"/>
          <w:sz w:val="24"/>
          <w:u w:val="none"/>
        </w:rPr>
        <w:t>，属于小型河流，</w:t>
      </w:r>
      <w:r>
        <w:rPr>
          <w:rFonts w:hint="eastAsia" w:ascii="Times New Roman" w:hAnsi="Times New Roman" w:eastAsia="宋体" w:cs="Times New Roman"/>
          <w:color w:val="000000"/>
          <w:sz w:val="24"/>
          <w:u w:val="none"/>
          <w:lang w:val="en-US" w:eastAsia="zh-CN"/>
        </w:rPr>
        <w:t>本项目废水排放量为0.000</w:t>
      </w:r>
      <w:r>
        <w:rPr>
          <w:rFonts w:hint="eastAsia" w:cs="Times New Roman"/>
          <w:color w:val="000000"/>
          <w:sz w:val="24"/>
          <w:u w:val="none"/>
          <w:lang w:val="en-US" w:eastAsia="zh-CN"/>
        </w:rPr>
        <w:t>5</w:t>
      </w:r>
      <w:r>
        <w:rPr>
          <w:rFonts w:hint="eastAsia" w:ascii="Times New Roman" w:hAnsi="Times New Roman" w:eastAsia="宋体" w:cs="Times New Roman"/>
          <w:color w:val="000000"/>
          <w:sz w:val="24"/>
          <w:u w:val="none"/>
          <w:lang w:val="en-US" w:eastAsia="zh-CN"/>
        </w:rPr>
        <w:t>m</w:t>
      </w:r>
      <w:r>
        <w:rPr>
          <w:rFonts w:hint="eastAsia" w:ascii="Times New Roman" w:hAnsi="Times New Roman" w:eastAsia="宋体" w:cs="Times New Roman"/>
          <w:color w:val="000000"/>
          <w:sz w:val="24"/>
          <w:u w:val="none"/>
          <w:vertAlign w:val="superscript"/>
          <w:lang w:val="en-US" w:eastAsia="zh-CN"/>
        </w:rPr>
        <w:t>3</w:t>
      </w:r>
      <w:r>
        <w:rPr>
          <w:rFonts w:hint="eastAsia" w:ascii="Times New Roman" w:hAnsi="Times New Roman" w:eastAsia="宋体" w:cs="Times New Roman"/>
          <w:color w:val="000000"/>
          <w:sz w:val="24"/>
          <w:u w:val="none"/>
          <w:lang w:val="en-US" w:eastAsia="zh-CN"/>
        </w:rPr>
        <w:t>/s，排放量非常小，废水排入河流后迅速混合，故</w:t>
      </w:r>
      <w:r>
        <w:rPr>
          <w:rFonts w:hint="default" w:ascii="Times New Roman" w:hAnsi="Times New Roman" w:eastAsia="宋体" w:cs="Times New Roman"/>
          <w:color w:val="000000"/>
          <w:sz w:val="24"/>
          <w:u w:val="none"/>
        </w:rPr>
        <w:t>根据《环境影响评价技术导则 地表水环境》（HJ2.3-2018），选用</w:t>
      </w:r>
      <w:r>
        <w:rPr>
          <w:rFonts w:hint="eastAsia" w:ascii="Times New Roman" w:hAnsi="Times New Roman" w:eastAsia="宋体" w:cs="Times New Roman"/>
          <w:color w:val="000000"/>
          <w:sz w:val="24"/>
          <w:u w:val="none"/>
          <w:lang w:val="en-US" w:eastAsia="zh-CN"/>
        </w:rPr>
        <w:t>0</w:t>
      </w:r>
      <w:r>
        <w:rPr>
          <w:rFonts w:hint="default" w:ascii="Times New Roman" w:hAnsi="Times New Roman" w:eastAsia="宋体" w:cs="Times New Roman"/>
          <w:color w:val="000000"/>
          <w:sz w:val="24"/>
          <w:u w:val="none"/>
        </w:rPr>
        <w:t>维模型预测对</w:t>
      </w:r>
      <w:r>
        <w:rPr>
          <w:rFonts w:hint="eastAsia" w:ascii="Times New Roman" w:hAnsi="Times New Roman" w:eastAsia="宋体" w:cs="Times New Roman"/>
          <w:color w:val="000000"/>
          <w:sz w:val="24"/>
          <w:u w:val="none"/>
          <w:lang w:val="en-US" w:eastAsia="zh-CN"/>
        </w:rPr>
        <w:t>河流的影响</w:t>
      </w:r>
      <w:r>
        <w:rPr>
          <w:rFonts w:hint="default" w:ascii="Times New Roman" w:hAnsi="Times New Roman" w:eastAsia="宋体" w:cs="Times New Roman"/>
          <w:color w:val="000000"/>
          <w:sz w:val="24"/>
          <w:u w:val="none"/>
        </w:rPr>
        <w:t xml:space="preserve">。 </w:t>
      </w:r>
    </w:p>
    <w:p>
      <w:pPr>
        <w:spacing w:line="360" w:lineRule="auto"/>
        <w:ind w:firstLine="480" w:firstLineChars="200"/>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drawing>
          <wp:inline distT="0" distB="0" distL="114300" distR="114300">
            <wp:extent cx="6116320" cy="2075815"/>
            <wp:effectExtent l="0" t="0" r="17780" b="635"/>
            <wp:docPr id="102" name="图片 102" descr="167826659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78266595178"/>
                    <pic:cNvPicPr>
                      <a:picLocks noChangeAspect="1"/>
                    </pic:cNvPicPr>
                  </pic:nvPicPr>
                  <pic:blipFill>
                    <a:blip r:embed="rId32"/>
                    <a:stretch>
                      <a:fillRect/>
                    </a:stretch>
                  </pic:blipFill>
                  <pic:spPr>
                    <a:xfrm>
                      <a:off x="0" y="0"/>
                      <a:ext cx="6116320" cy="2075815"/>
                    </a:xfrm>
                    <a:prstGeom prst="rect">
                      <a:avLst/>
                    </a:prstGeom>
                  </pic:spPr>
                </pic:pic>
              </a:graphicData>
            </a:graphic>
          </wp:inline>
        </w:drawing>
      </w:r>
    </w:p>
    <w:p>
      <w:pPr>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根据上述模型预测得知结果如下：</w:t>
      </w:r>
    </w:p>
    <w:p>
      <w:pPr>
        <w:pStyle w:val="32"/>
        <w:jc w:val="center"/>
        <w:rPr>
          <w:rFonts w:hint="default"/>
          <w:b/>
          <w:bCs/>
          <w:lang w:val="en-US" w:eastAsia="zh-CN"/>
        </w:rPr>
      </w:pPr>
      <w:r>
        <w:rPr>
          <w:rFonts w:hint="eastAsia" w:ascii="Times New Roman" w:hAnsi="Times New Roman" w:eastAsia="宋体" w:cs="Times New Roman"/>
          <w:b/>
          <w:bCs/>
          <w:color w:val="000000"/>
          <w:kern w:val="0"/>
          <w:sz w:val="24"/>
          <w:lang w:val="en-US" w:eastAsia="zh-CN"/>
        </w:rPr>
        <w:t>表4.2-2  预测结果表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970" w:type="dxa"/>
            <w:vMerge w:val="restart"/>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预测工况</w:t>
            </w:r>
          </w:p>
        </w:tc>
        <w:tc>
          <w:tcPr>
            <w:tcW w:w="3942" w:type="dxa"/>
            <w:gridSpan w:val="2"/>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预测结果mg/L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970" w:type="dxa"/>
            <w:vMerge w:val="continue"/>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pP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eastAsia="宋体"/>
                <w:lang w:val="en-US" w:eastAsia="zh-CN"/>
              </w:rPr>
            </w:pPr>
            <w:r>
              <w:rPr>
                <w:rFonts w:hint="eastAsia"/>
                <w:lang w:val="en-US" w:eastAsia="zh-CN"/>
              </w:rPr>
              <w:t>COD</w:t>
            </w: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r>
              <w:rPr>
                <w:rFonts w:hint="eastAsia"/>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正常工况</w:t>
            </w: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13.66</w:t>
            </w: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非正常工况</w:t>
            </w: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20.56</w:t>
            </w:r>
          </w:p>
        </w:tc>
        <w:tc>
          <w:tcPr>
            <w:tcW w:w="1971" w:type="dxa"/>
            <w:vAlign w:val="top"/>
          </w:tcPr>
          <w:p>
            <w:pPr>
              <w:pStyle w:val="3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vertAlign w:val="baseline"/>
                <w:lang w:val="en-US" w:eastAsia="zh-CN"/>
              </w:rPr>
            </w:pPr>
            <w:r>
              <w:rPr>
                <w:rFonts w:hint="eastAsia"/>
                <w:vertAlign w:val="baseline"/>
                <w:lang w:val="en-US" w:eastAsia="zh-CN"/>
              </w:rPr>
              <w:t>0.315</w:t>
            </w:r>
          </w:p>
        </w:tc>
      </w:tr>
    </w:tbl>
    <w:p>
      <w:pPr>
        <w:pStyle w:val="32"/>
        <w:keepNext w:val="0"/>
        <w:keepLines w:val="0"/>
        <w:pageBreakBefore w:val="0"/>
        <w:kinsoku/>
        <w:wordWrap/>
        <w:overflowPunct/>
        <w:topLinePunct w:val="0"/>
        <w:autoSpaceDE/>
        <w:autoSpaceDN/>
        <w:bidi w:val="0"/>
        <w:adjustRightInd/>
        <w:spacing w:after="0" w:line="360" w:lineRule="auto"/>
        <w:ind w:left="0" w:leftChars="0" w:right="0" w:firstLine="480" w:firstLineChars="200"/>
        <w:textAlignment w:val="auto"/>
        <w:rPr>
          <w:rFonts w:hint="default" w:ascii="Times New Roman" w:hAnsi="Times New Roman" w:eastAsia="宋体" w:cs="Times New Roman"/>
          <w:color w:val="000000"/>
          <w:kern w:val="2"/>
          <w:sz w:val="24"/>
          <w:szCs w:val="24"/>
          <w:lang w:val="en-US" w:eastAsia="zh-CN" w:bidi="ar-SA"/>
        </w:rPr>
      </w:pPr>
    </w:p>
    <w:p>
      <w:pPr>
        <w:pStyle w:val="31"/>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由上表可知，正常情况下，项目废水排入</w:t>
      </w:r>
      <w:r>
        <w:rPr>
          <w:rFonts w:hint="eastAsia" w:cs="Times New Roman"/>
          <w:color w:val="000000"/>
          <w:kern w:val="2"/>
          <w:sz w:val="24"/>
          <w:szCs w:val="24"/>
          <w:lang w:val="en-US" w:eastAsia="zh-CN" w:bidi="ar-SA"/>
        </w:rPr>
        <w:t>黄蜡河</w:t>
      </w:r>
      <w:r>
        <w:rPr>
          <w:rFonts w:hint="eastAsia" w:ascii="Times New Roman" w:hAnsi="Times New Roman" w:eastAsia="宋体" w:cs="Times New Roman"/>
          <w:color w:val="000000"/>
          <w:kern w:val="2"/>
          <w:sz w:val="24"/>
          <w:szCs w:val="24"/>
          <w:lang w:val="en-US" w:eastAsia="zh-CN" w:bidi="ar-SA"/>
        </w:rPr>
        <w:t>支流主要污染物贡献值较小，不会改变地表水功能，对地表水影响很小。非正常工况下，废水排放造成地表水COD超标，影响较大。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hint="default"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4.2.3相关表格</w:t>
      </w:r>
    </w:p>
    <w:p>
      <w:pPr>
        <w:pStyle w:val="98"/>
        <w:rPr>
          <w:rFonts w:hint="default" w:ascii="Times New Roman" w:hAnsi="Times New Roman" w:eastAsia="宋体" w:cs="Times New Roman"/>
          <w:b/>
          <w:bCs/>
          <w:color w:val="auto"/>
          <w:kern w:val="0"/>
          <w:sz w:val="24"/>
          <w:szCs w:val="24"/>
        </w:rPr>
      </w:pPr>
    </w:p>
    <w:p>
      <w:pPr>
        <w:pStyle w:val="98"/>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rPr>
        <w:t>表4</w:t>
      </w:r>
      <w:r>
        <w:rPr>
          <w:rFonts w:hint="eastAsia" w:ascii="Times New Roman" w:hAnsi="Times New Roman" w:eastAsia="宋体" w:cs="Times New Roman"/>
          <w:b/>
          <w:bCs/>
          <w:color w:val="auto"/>
          <w:kern w:val="0"/>
          <w:sz w:val="24"/>
          <w:szCs w:val="24"/>
          <w:lang w:val="en-US" w:eastAsia="zh-CN"/>
        </w:rPr>
        <w:t>.3-1</w:t>
      </w:r>
      <w:r>
        <w:rPr>
          <w:rFonts w:hint="default" w:ascii="Times New Roman" w:hAnsi="Times New Roman" w:eastAsia="宋体" w:cs="Times New Roman"/>
          <w:b/>
          <w:bCs/>
          <w:color w:val="auto"/>
          <w:kern w:val="0"/>
          <w:sz w:val="24"/>
          <w:szCs w:val="24"/>
        </w:rPr>
        <w:t xml:space="preserve">   废水类别、污染物及污染治理设施信息表</w:t>
      </w:r>
    </w:p>
    <w:tbl>
      <w:tblPr>
        <w:tblStyle w:val="33"/>
        <w:tblW w:w="495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461"/>
        <w:gridCol w:w="804"/>
        <w:gridCol w:w="877"/>
        <w:gridCol w:w="944"/>
        <w:gridCol w:w="816"/>
        <w:gridCol w:w="929"/>
        <w:gridCol w:w="791"/>
        <w:gridCol w:w="1069"/>
        <w:gridCol w:w="954"/>
        <w:gridCol w:w="804"/>
        <w:gridCol w:w="12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序号</w:t>
            </w:r>
          </w:p>
        </w:tc>
        <w:tc>
          <w:tcPr>
            <w:tcW w:w="416"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废水类别（a）</w:t>
            </w:r>
          </w:p>
        </w:tc>
        <w:tc>
          <w:tcPr>
            <w:tcW w:w="453"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污染物种类（b）</w:t>
            </w:r>
          </w:p>
        </w:tc>
        <w:tc>
          <w:tcPr>
            <w:tcW w:w="488"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排放去向（c）</w:t>
            </w:r>
          </w:p>
        </w:tc>
        <w:tc>
          <w:tcPr>
            <w:tcW w:w="422"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排放规律（d）</w:t>
            </w:r>
          </w:p>
        </w:tc>
        <w:tc>
          <w:tcPr>
            <w:tcW w:w="1442" w:type="pct"/>
            <w:gridSpan w:val="3"/>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污染治理设施</w:t>
            </w:r>
          </w:p>
        </w:tc>
        <w:tc>
          <w:tcPr>
            <w:tcW w:w="493"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排放口编号（f）</w:t>
            </w:r>
          </w:p>
        </w:tc>
        <w:tc>
          <w:tcPr>
            <w:tcW w:w="416"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排放口设置是否符合要求（g）</w:t>
            </w:r>
          </w:p>
        </w:tc>
        <w:tc>
          <w:tcPr>
            <w:tcW w:w="630"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排放口类型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Merge w:val="continue"/>
            <w:vAlign w:val="center"/>
          </w:tcPr>
          <w:p>
            <w:pPr>
              <w:widowControl/>
              <w:jc w:val="left"/>
              <w:rPr>
                <w:rFonts w:hint="default" w:ascii="Times New Roman" w:hAnsi="Times New Roman" w:eastAsia="宋体" w:cs="Times New Roman"/>
                <w:bCs/>
                <w:szCs w:val="21"/>
              </w:rPr>
            </w:pPr>
          </w:p>
        </w:tc>
        <w:tc>
          <w:tcPr>
            <w:tcW w:w="416" w:type="pct"/>
            <w:vMerge w:val="continue"/>
            <w:vAlign w:val="center"/>
          </w:tcPr>
          <w:p>
            <w:pPr>
              <w:widowControl/>
              <w:jc w:val="left"/>
              <w:rPr>
                <w:rFonts w:hint="default" w:ascii="Times New Roman" w:hAnsi="Times New Roman" w:eastAsia="宋体" w:cs="Times New Roman"/>
                <w:bCs/>
                <w:szCs w:val="21"/>
              </w:rPr>
            </w:pPr>
          </w:p>
        </w:tc>
        <w:tc>
          <w:tcPr>
            <w:tcW w:w="453" w:type="pct"/>
            <w:vMerge w:val="continue"/>
            <w:vAlign w:val="center"/>
          </w:tcPr>
          <w:p>
            <w:pPr>
              <w:widowControl/>
              <w:jc w:val="left"/>
              <w:rPr>
                <w:rFonts w:hint="default" w:ascii="Times New Roman" w:hAnsi="Times New Roman" w:eastAsia="宋体" w:cs="Times New Roman"/>
                <w:bCs/>
                <w:szCs w:val="21"/>
              </w:rPr>
            </w:pPr>
          </w:p>
        </w:tc>
        <w:tc>
          <w:tcPr>
            <w:tcW w:w="488" w:type="pct"/>
            <w:vMerge w:val="continue"/>
            <w:vAlign w:val="center"/>
          </w:tcPr>
          <w:p>
            <w:pPr>
              <w:widowControl/>
              <w:jc w:val="left"/>
              <w:rPr>
                <w:rFonts w:hint="default" w:ascii="Times New Roman" w:hAnsi="Times New Roman" w:eastAsia="宋体" w:cs="Times New Roman"/>
                <w:bCs/>
                <w:szCs w:val="21"/>
              </w:rPr>
            </w:pPr>
          </w:p>
        </w:tc>
        <w:tc>
          <w:tcPr>
            <w:tcW w:w="422" w:type="pct"/>
            <w:vMerge w:val="continue"/>
            <w:vAlign w:val="center"/>
          </w:tcPr>
          <w:p>
            <w:pPr>
              <w:widowControl/>
              <w:jc w:val="left"/>
              <w:rPr>
                <w:rFonts w:hint="default" w:ascii="Times New Roman" w:hAnsi="Times New Roman" w:eastAsia="宋体" w:cs="Times New Roman"/>
                <w:bCs/>
                <w:szCs w:val="21"/>
              </w:rPr>
            </w:pPr>
          </w:p>
        </w:tc>
        <w:tc>
          <w:tcPr>
            <w:tcW w:w="480"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污染治理设施编号</w:t>
            </w:r>
          </w:p>
        </w:tc>
        <w:tc>
          <w:tcPr>
            <w:tcW w:w="409"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污染治理设施名称（e）</w:t>
            </w:r>
          </w:p>
        </w:tc>
        <w:tc>
          <w:tcPr>
            <w:tcW w:w="553"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污染治理设施工艺</w:t>
            </w:r>
          </w:p>
        </w:tc>
        <w:tc>
          <w:tcPr>
            <w:tcW w:w="493" w:type="pct"/>
            <w:vMerge w:val="continue"/>
            <w:vAlign w:val="center"/>
          </w:tcPr>
          <w:p>
            <w:pPr>
              <w:widowControl/>
              <w:jc w:val="left"/>
              <w:rPr>
                <w:rFonts w:hint="default" w:ascii="Times New Roman" w:hAnsi="Times New Roman" w:eastAsia="宋体" w:cs="Times New Roman"/>
                <w:bCs/>
                <w:szCs w:val="21"/>
              </w:rPr>
            </w:pPr>
          </w:p>
        </w:tc>
        <w:tc>
          <w:tcPr>
            <w:tcW w:w="416" w:type="pct"/>
            <w:vMerge w:val="continue"/>
            <w:vAlign w:val="center"/>
          </w:tcPr>
          <w:p>
            <w:pPr>
              <w:widowControl/>
              <w:jc w:val="left"/>
              <w:rPr>
                <w:rFonts w:hint="default" w:ascii="Times New Roman" w:hAnsi="Times New Roman" w:eastAsia="宋体" w:cs="Times New Roman"/>
                <w:bCs/>
                <w:szCs w:val="21"/>
              </w:rPr>
            </w:pPr>
          </w:p>
        </w:tc>
        <w:tc>
          <w:tcPr>
            <w:tcW w:w="630" w:type="pct"/>
            <w:vMerge w:val="continue"/>
            <w:vAlign w:val="center"/>
          </w:tcPr>
          <w:p>
            <w:pPr>
              <w:widowControl/>
              <w:jc w:val="left"/>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1591" w:hRule="atLeast"/>
        </w:trPr>
        <w:tc>
          <w:tcPr>
            <w:tcW w:w="239"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16"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生产废水</w:t>
            </w:r>
          </w:p>
        </w:tc>
        <w:tc>
          <w:tcPr>
            <w:tcW w:w="453" w:type="pct"/>
            <w:vMerge w:val="restart"/>
            <w:vAlign w:val="center"/>
          </w:tcPr>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COD</w:t>
            </w:r>
            <w:r>
              <w:rPr>
                <w:rFonts w:hint="default" w:ascii="Times New Roman" w:hAnsi="Times New Roman" w:eastAsia="宋体" w:cs="Times New Roman"/>
                <w:snapToGrid w:val="0"/>
                <w:szCs w:val="21"/>
                <w:vertAlign w:val="subscript"/>
              </w:rPr>
              <w:t>Cr</w:t>
            </w:r>
          </w:p>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BOD</w:t>
            </w:r>
            <w:r>
              <w:rPr>
                <w:rFonts w:hint="default" w:ascii="Times New Roman" w:hAnsi="Times New Roman" w:eastAsia="宋体" w:cs="Times New Roman"/>
                <w:snapToGrid w:val="0"/>
                <w:szCs w:val="21"/>
                <w:vertAlign w:val="subscript"/>
              </w:rPr>
              <w:t>5</w:t>
            </w:r>
          </w:p>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SS</w:t>
            </w:r>
          </w:p>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bCs/>
                <w:snapToGrid w:val="0"/>
                <w:szCs w:val="21"/>
              </w:rPr>
              <w:t>NH</w:t>
            </w:r>
            <w:r>
              <w:rPr>
                <w:rFonts w:hint="default" w:ascii="Times New Roman" w:hAnsi="Times New Roman" w:eastAsia="宋体" w:cs="Times New Roman"/>
                <w:bCs/>
                <w:snapToGrid w:val="0"/>
                <w:szCs w:val="21"/>
                <w:vertAlign w:val="subscript"/>
              </w:rPr>
              <w:t>3</w:t>
            </w:r>
            <w:r>
              <w:rPr>
                <w:rFonts w:hint="default" w:ascii="Times New Roman" w:hAnsi="Times New Roman" w:eastAsia="宋体" w:cs="Times New Roman"/>
                <w:bCs/>
                <w:snapToGrid w:val="0"/>
                <w:szCs w:val="21"/>
              </w:rPr>
              <w:t>-N</w:t>
            </w:r>
          </w:p>
          <w:p>
            <w:pPr>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TP</w:t>
            </w:r>
          </w:p>
          <w:p>
            <w:pPr>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TN</w:t>
            </w:r>
          </w:p>
        </w:tc>
        <w:tc>
          <w:tcPr>
            <w:tcW w:w="488" w:type="pct"/>
            <w:vMerge w:val="restart"/>
            <w:vAlign w:val="center"/>
          </w:tcPr>
          <w:p>
            <w:pPr>
              <w:snapToGrid w:val="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自建污水处理站→</w:t>
            </w:r>
            <w:r>
              <w:rPr>
                <w:rFonts w:hint="eastAsia" w:cs="Times New Roman"/>
                <w:szCs w:val="21"/>
                <w:lang w:val="en-US" w:eastAsia="zh-CN"/>
              </w:rPr>
              <w:t>黄蜡河</w:t>
            </w:r>
          </w:p>
        </w:tc>
        <w:tc>
          <w:tcPr>
            <w:tcW w:w="422"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间断排放，排放期间流量不稳定且无规律，但不属于冲击型排放</w:t>
            </w:r>
          </w:p>
        </w:tc>
        <w:tc>
          <w:tcPr>
            <w:tcW w:w="480"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TW001</w:t>
            </w:r>
          </w:p>
        </w:tc>
        <w:tc>
          <w:tcPr>
            <w:tcW w:w="409"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污水处理站</w:t>
            </w:r>
          </w:p>
        </w:tc>
        <w:tc>
          <w:tcPr>
            <w:tcW w:w="553" w:type="pct"/>
            <w:vMerge w:val="restart"/>
            <w:vAlign w:val="center"/>
          </w:tcPr>
          <w:p>
            <w:pPr>
              <w:snapToGrid w:val="0"/>
              <w:jc w:val="center"/>
              <w:rPr>
                <w:rFonts w:hint="default" w:ascii="Times New Roman" w:hAnsi="Times New Roman" w:eastAsia="宋体" w:cs="Times New Roman"/>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格栅+调节+</w:t>
            </w:r>
            <w:r>
              <w:rPr>
                <w:rFonts w:hint="eastAsia" w:cs="Times New Roman"/>
                <w:color w:val="000000" w:themeColor="text1"/>
                <w:sz w:val="21"/>
                <w:szCs w:val="21"/>
                <w:lang w:val="en-US" w:eastAsia="zh-CN"/>
                <w14:textFill>
                  <w14:solidFill>
                    <w14:schemeClr w14:val="tx1"/>
                  </w14:solidFill>
                </w14:textFill>
              </w:rPr>
              <w:t>絮凝沉淀+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厌氧+好氧+二次沉淀+清水池（消毒）+砂过滤</w:t>
            </w:r>
          </w:p>
        </w:tc>
        <w:tc>
          <w:tcPr>
            <w:tcW w:w="493"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DW001</w:t>
            </w:r>
          </w:p>
        </w:tc>
        <w:tc>
          <w:tcPr>
            <w:tcW w:w="416"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c>
          <w:tcPr>
            <w:tcW w:w="630" w:type="pct"/>
            <w:vMerge w:val="restart"/>
            <w:vAlign w:val="center"/>
          </w:tcPr>
          <w:p>
            <w:pPr>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52"/>
            </w:r>
            <w:r>
              <w:rPr>
                <w:rFonts w:hint="default" w:ascii="Times New Roman" w:hAnsi="Times New Roman" w:eastAsia="宋体" w:cs="Times New Roman"/>
                <w:szCs w:val="21"/>
              </w:rPr>
              <w:t>企业总排</w:t>
            </w:r>
          </w:p>
          <w:p>
            <w:pPr>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□雨水排放</w:t>
            </w:r>
          </w:p>
          <w:p>
            <w:pPr>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□清净下水排放</w:t>
            </w:r>
          </w:p>
          <w:p>
            <w:pPr>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□温排水排放</w:t>
            </w:r>
          </w:p>
          <w:p>
            <w:pPr>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39"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16"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生活污水</w:t>
            </w:r>
          </w:p>
        </w:tc>
        <w:tc>
          <w:tcPr>
            <w:tcW w:w="453" w:type="pct"/>
            <w:vMerge w:val="continue"/>
            <w:vAlign w:val="center"/>
          </w:tcPr>
          <w:p>
            <w:pPr>
              <w:widowControl/>
              <w:jc w:val="left"/>
              <w:rPr>
                <w:rFonts w:hint="default" w:ascii="Times New Roman" w:hAnsi="Times New Roman" w:eastAsia="宋体" w:cs="Times New Roman"/>
                <w:szCs w:val="21"/>
              </w:rPr>
            </w:pPr>
          </w:p>
        </w:tc>
        <w:tc>
          <w:tcPr>
            <w:tcW w:w="488" w:type="pct"/>
            <w:vMerge w:val="continue"/>
            <w:vAlign w:val="center"/>
          </w:tcPr>
          <w:p>
            <w:pPr>
              <w:widowControl/>
              <w:jc w:val="left"/>
              <w:rPr>
                <w:rFonts w:hint="default" w:ascii="Times New Roman" w:hAnsi="Times New Roman" w:eastAsia="宋体" w:cs="Times New Roman"/>
                <w:szCs w:val="21"/>
              </w:rPr>
            </w:pPr>
          </w:p>
        </w:tc>
        <w:tc>
          <w:tcPr>
            <w:tcW w:w="422" w:type="pct"/>
            <w:vMerge w:val="continue"/>
            <w:vAlign w:val="center"/>
          </w:tcPr>
          <w:p>
            <w:pPr>
              <w:widowControl/>
              <w:jc w:val="left"/>
              <w:rPr>
                <w:rFonts w:hint="default" w:ascii="Times New Roman" w:hAnsi="Times New Roman" w:eastAsia="宋体" w:cs="Times New Roman"/>
                <w:szCs w:val="21"/>
              </w:rPr>
            </w:pPr>
          </w:p>
        </w:tc>
        <w:tc>
          <w:tcPr>
            <w:tcW w:w="480" w:type="pct"/>
            <w:vMerge w:val="continue"/>
            <w:vAlign w:val="center"/>
          </w:tcPr>
          <w:p>
            <w:pPr>
              <w:widowControl/>
              <w:jc w:val="left"/>
              <w:rPr>
                <w:rFonts w:hint="default" w:ascii="Times New Roman" w:hAnsi="Times New Roman" w:eastAsia="宋体" w:cs="Times New Roman"/>
                <w:szCs w:val="21"/>
              </w:rPr>
            </w:pPr>
          </w:p>
        </w:tc>
        <w:tc>
          <w:tcPr>
            <w:tcW w:w="409" w:type="pct"/>
            <w:vMerge w:val="continue"/>
            <w:vAlign w:val="center"/>
          </w:tcPr>
          <w:p>
            <w:pPr>
              <w:widowControl/>
              <w:jc w:val="left"/>
              <w:rPr>
                <w:rFonts w:hint="default" w:ascii="Times New Roman" w:hAnsi="Times New Roman" w:eastAsia="宋体" w:cs="Times New Roman"/>
                <w:szCs w:val="21"/>
              </w:rPr>
            </w:pPr>
          </w:p>
        </w:tc>
        <w:tc>
          <w:tcPr>
            <w:tcW w:w="553"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16" w:type="pct"/>
            <w:vMerge w:val="continue"/>
            <w:vAlign w:val="center"/>
          </w:tcPr>
          <w:p>
            <w:pPr>
              <w:widowControl/>
              <w:jc w:val="left"/>
              <w:rPr>
                <w:rFonts w:hint="default" w:ascii="Times New Roman" w:hAnsi="Times New Roman" w:eastAsia="宋体" w:cs="Times New Roman"/>
                <w:szCs w:val="21"/>
              </w:rPr>
            </w:pPr>
          </w:p>
        </w:tc>
        <w:tc>
          <w:tcPr>
            <w:tcW w:w="630" w:type="pct"/>
            <w:vMerge w:val="continue"/>
            <w:vAlign w:val="center"/>
          </w:tcPr>
          <w:p>
            <w:pPr>
              <w:widowControl/>
              <w:jc w:val="left"/>
              <w:rPr>
                <w:rFonts w:hint="default" w:ascii="Times New Roman" w:hAnsi="Times New Roman" w:eastAsia="宋体" w:cs="Times New Roman"/>
                <w:szCs w:val="21"/>
              </w:rPr>
            </w:pPr>
          </w:p>
        </w:tc>
      </w:tr>
    </w:tbl>
    <w:p>
      <w:pPr>
        <w:pStyle w:val="98"/>
        <w:rPr>
          <w:rFonts w:hint="default" w:ascii="Times New Roman" w:hAnsi="Times New Roman" w:eastAsia="宋体" w:cs="Times New Roman"/>
          <w:b/>
          <w:bCs/>
        </w:rPr>
      </w:pPr>
    </w:p>
    <w:p>
      <w:pPr>
        <w:pStyle w:val="98"/>
        <w:rPr>
          <w:rFonts w:hint="default" w:ascii="Times New Roman" w:hAnsi="Times New Roman" w:eastAsia="宋体" w:cs="Times New Roman"/>
          <w:color w:val="auto"/>
        </w:rPr>
      </w:pPr>
      <w:r>
        <w:rPr>
          <w:rFonts w:hint="default" w:ascii="Times New Roman" w:hAnsi="Times New Roman" w:eastAsia="宋体" w:cs="Times New Roman"/>
          <w:b/>
          <w:bCs/>
        </w:rPr>
        <w:br w:type="page"/>
      </w:r>
      <w:r>
        <w:rPr>
          <w:rFonts w:hint="default" w:ascii="Times New Roman" w:hAnsi="Times New Roman" w:eastAsia="宋体" w:cs="Times New Roman"/>
          <w:b/>
          <w:bCs/>
          <w:color w:val="auto"/>
          <w:kern w:val="0"/>
          <w:sz w:val="24"/>
          <w:szCs w:val="20"/>
        </w:rPr>
        <w:t>表4</w:t>
      </w:r>
      <w:r>
        <w:rPr>
          <w:rFonts w:hint="eastAsia" w:ascii="Times New Roman" w:hAnsi="Times New Roman" w:eastAsia="宋体" w:cs="Times New Roman"/>
          <w:b/>
          <w:bCs/>
          <w:color w:val="auto"/>
          <w:kern w:val="0"/>
          <w:sz w:val="24"/>
          <w:szCs w:val="20"/>
          <w:lang w:val="en-US" w:eastAsia="zh-CN"/>
        </w:rPr>
        <w:t>.3-2</w:t>
      </w:r>
      <w:r>
        <w:rPr>
          <w:rFonts w:hint="default" w:ascii="Times New Roman" w:hAnsi="Times New Roman" w:eastAsia="宋体" w:cs="Times New Roman"/>
          <w:b/>
          <w:bCs/>
          <w:color w:val="auto"/>
          <w:kern w:val="0"/>
          <w:sz w:val="24"/>
          <w:szCs w:val="20"/>
        </w:rPr>
        <w:t xml:space="preserve">  废水</w:t>
      </w:r>
      <w:r>
        <w:rPr>
          <w:rFonts w:hint="eastAsia" w:ascii="Times New Roman" w:hAnsi="Times New Roman" w:eastAsia="宋体" w:cs="Times New Roman"/>
          <w:b/>
          <w:bCs/>
          <w:color w:val="auto"/>
          <w:kern w:val="0"/>
          <w:sz w:val="24"/>
          <w:szCs w:val="20"/>
          <w:lang w:val="en-US" w:eastAsia="zh-CN"/>
        </w:rPr>
        <w:t>直接</w:t>
      </w:r>
      <w:r>
        <w:rPr>
          <w:rFonts w:hint="default" w:ascii="Times New Roman" w:hAnsi="Times New Roman" w:eastAsia="宋体" w:cs="Times New Roman"/>
          <w:b/>
          <w:bCs/>
          <w:color w:val="auto"/>
          <w:kern w:val="0"/>
          <w:sz w:val="24"/>
          <w:szCs w:val="20"/>
        </w:rPr>
        <w:t>排放口基本情况表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1"/>
        <w:gridCol w:w="764"/>
        <w:gridCol w:w="989"/>
        <w:gridCol w:w="796"/>
        <w:gridCol w:w="759"/>
        <w:gridCol w:w="759"/>
        <w:gridCol w:w="885"/>
        <w:gridCol w:w="632"/>
        <w:gridCol w:w="632"/>
        <w:gridCol w:w="883"/>
        <w:gridCol w:w="797"/>
        <w:gridCol w:w="718"/>
        <w:gridCol w:w="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1"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764"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排放口编号</w:t>
            </w:r>
          </w:p>
        </w:tc>
        <w:tc>
          <w:tcPr>
            <w:tcW w:w="1785" w:type="dxa"/>
            <w:gridSpan w:val="2"/>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排放口地理坐标</w:t>
            </w:r>
          </w:p>
        </w:tc>
        <w:tc>
          <w:tcPr>
            <w:tcW w:w="759"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废水排放量/(万t/a)</w:t>
            </w:r>
          </w:p>
        </w:tc>
        <w:tc>
          <w:tcPr>
            <w:tcW w:w="759"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排放去向</w:t>
            </w:r>
          </w:p>
        </w:tc>
        <w:tc>
          <w:tcPr>
            <w:tcW w:w="885"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排放规律</w:t>
            </w:r>
          </w:p>
        </w:tc>
        <w:tc>
          <w:tcPr>
            <w:tcW w:w="632"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间歇排放时段</w:t>
            </w:r>
          </w:p>
        </w:tc>
        <w:tc>
          <w:tcPr>
            <w:tcW w:w="1515" w:type="dxa"/>
            <w:gridSpan w:val="2"/>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收纳自然水体信息</w:t>
            </w:r>
          </w:p>
        </w:tc>
        <w:tc>
          <w:tcPr>
            <w:tcW w:w="1515" w:type="dxa"/>
            <w:gridSpan w:val="2"/>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汇入收纳自然水体处地理坐标</w:t>
            </w:r>
          </w:p>
        </w:tc>
        <w:tc>
          <w:tcPr>
            <w:tcW w:w="759"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1"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764"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989"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796"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759"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759"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885"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632"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632"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883"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受纳水体功能目标</w:t>
            </w:r>
          </w:p>
        </w:tc>
        <w:tc>
          <w:tcPr>
            <w:tcW w:w="797"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718"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759"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1"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764"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89"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109.70984280</w:t>
            </w:r>
          </w:p>
        </w:tc>
        <w:tc>
          <w:tcPr>
            <w:tcW w:w="796"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24.70275333</w:t>
            </w:r>
          </w:p>
        </w:tc>
        <w:tc>
          <w:tcPr>
            <w:tcW w:w="759"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1.6308</w:t>
            </w:r>
          </w:p>
        </w:tc>
        <w:tc>
          <w:tcPr>
            <w:tcW w:w="759"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eastAsia" w:eastAsia="宋体" w:cs="Times New Roman"/>
                <w:color w:val="auto"/>
                <w:lang w:val="en-US" w:eastAsia="zh-CN"/>
              </w:rPr>
              <w:t>黄蜡河</w:t>
            </w:r>
          </w:p>
        </w:tc>
        <w:tc>
          <w:tcPr>
            <w:tcW w:w="885"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rPr>
              <w:t>连续排放，流量稳定</w:t>
            </w:r>
          </w:p>
        </w:tc>
        <w:tc>
          <w:tcPr>
            <w:tcW w:w="632"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32"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eastAsia" w:eastAsia="宋体" w:cs="Times New Roman"/>
                <w:color w:val="auto"/>
                <w:lang w:val="en-US" w:eastAsia="zh-CN"/>
              </w:rPr>
              <w:t>黄蜡河</w:t>
            </w:r>
          </w:p>
        </w:tc>
        <w:tc>
          <w:tcPr>
            <w:tcW w:w="883"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sz w:val="24"/>
                <w:szCs w:val="24"/>
              </w:rPr>
              <w:t>Ⅱ</w:t>
            </w:r>
          </w:p>
        </w:tc>
        <w:tc>
          <w:tcPr>
            <w:tcW w:w="797"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109.71007079</w:t>
            </w:r>
          </w:p>
        </w:tc>
        <w:tc>
          <w:tcPr>
            <w:tcW w:w="718"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24.70279476</w:t>
            </w:r>
          </w:p>
        </w:tc>
        <w:tc>
          <w:tcPr>
            <w:tcW w:w="759" w:type="dxa"/>
            <w:noWrap w:val="0"/>
            <w:vAlign w:val="center"/>
          </w:tcPr>
          <w:p>
            <w:pPr>
              <w:pStyle w:val="10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pPr>
        <w:pStyle w:val="98"/>
        <w:rPr>
          <w:rFonts w:hint="default" w:ascii="Times New Roman" w:hAnsi="Times New Roman" w:eastAsia="宋体" w:cs="Times New Roman"/>
          <w:b/>
          <w:bCs/>
          <w:color w:val="auto"/>
          <w:kern w:val="0"/>
          <w:sz w:val="24"/>
          <w:szCs w:val="20"/>
        </w:rPr>
      </w:pPr>
    </w:p>
    <w:p>
      <w:pPr>
        <w:pStyle w:val="98"/>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0"/>
        </w:rPr>
        <w:t>表4</w:t>
      </w:r>
      <w:r>
        <w:rPr>
          <w:rFonts w:hint="eastAsia" w:ascii="Times New Roman" w:hAnsi="Times New Roman" w:eastAsia="宋体" w:cs="Times New Roman"/>
          <w:b/>
          <w:bCs/>
          <w:color w:val="auto"/>
          <w:kern w:val="0"/>
          <w:sz w:val="24"/>
          <w:szCs w:val="20"/>
          <w:lang w:val="en-US" w:eastAsia="zh-CN"/>
        </w:rPr>
        <w:t>.3</w:t>
      </w:r>
      <w:r>
        <w:rPr>
          <w:rFonts w:hint="default" w:ascii="Times New Roman" w:hAnsi="Times New Roman" w:eastAsia="宋体" w:cs="Times New Roman"/>
          <w:b/>
          <w:bCs/>
          <w:color w:val="auto"/>
          <w:kern w:val="0"/>
          <w:sz w:val="24"/>
          <w:szCs w:val="20"/>
        </w:rPr>
        <w:t>-</w:t>
      </w:r>
      <w:r>
        <w:rPr>
          <w:rFonts w:hint="eastAsia" w:ascii="Times New Roman" w:hAnsi="Times New Roman" w:eastAsia="宋体" w:cs="Times New Roman"/>
          <w:b/>
          <w:bCs/>
          <w:color w:val="auto"/>
          <w:kern w:val="0"/>
          <w:sz w:val="24"/>
          <w:szCs w:val="20"/>
          <w:lang w:val="en-US" w:eastAsia="zh-CN"/>
        </w:rPr>
        <w:t>3</w:t>
      </w:r>
      <w:r>
        <w:rPr>
          <w:rFonts w:hint="default" w:ascii="Times New Roman" w:hAnsi="Times New Roman" w:eastAsia="宋体" w:cs="Times New Roman"/>
          <w:b/>
          <w:bCs/>
          <w:color w:val="auto"/>
          <w:kern w:val="0"/>
          <w:sz w:val="24"/>
          <w:szCs w:val="20"/>
        </w:rPr>
        <w:t xml:space="preserve">   废水污染物排放执行标准表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4"/>
        <w:gridCol w:w="972"/>
        <w:gridCol w:w="946"/>
        <w:gridCol w:w="1405"/>
        <w:gridCol w:w="3640"/>
        <w:gridCol w:w="20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序号</w:t>
            </w:r>
          </w:p>
        </w:tc>
        <w:tc>
          <w:tcPr>
            <w:tcW w:w="493" w:type="pct"/>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排放口编号</w:t>
            </w:r>
          </w:p>
        </w:tc>
        <w:tc>
          <w:tcPr>
            <w:tcW w:w="1192" w:type="pct"/>
            <w:gridSpan w:val="2"/>
            <w:vMerge w:val="restar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污染物种类</w:t>
            </w:r>
          </w:p>
        </w:tc>
        <w:tc>
          <w:tcPr>
            <w:tcW w:w="2865" w:type="pct"/>
            <w:gridSpan w:val="2"/>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国家或地方污染物排放标准及其他按规定商定的排放协议（a）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bCs/>
                <w:szCs w:val="21"/>
              </w:rPr>
            </w:pPr>
          </w:p>
        </w:tc>
        <w:tc>
          <w:tcPr>
            <w:tcW w:w="493" w:type="pct"/>
            <w:vMerge w:val="continue"/>
            <w:vAlign w:val="center"/>
          </w:tcPr>
          <w:p>
            <w:pPr>
              <w:widowControl/>
              <w:jc w:val="left"/>
              <w:rPr>
                <w:rFonts w:hint="default" w:ascii="Times New Roman" w:hAnsi="Times New Roman" w:eastAsia="宋体" w:cs="Times New Roman"/>
                <w:bCs/>
                <w:szCs w:val="21"/>
              </w:rPr>
            </w:pPr>
          </w:p>
        </w:tc>
        <w:tc>
          <w:tcPr>
            <w:tcW w:w="1192" w:type="pct"/>
            <w:gridSpan w:val="2"/>
            <w:vMerge w:val="continue"/>
            <w:vAlign w:val="center"/>
          </w:tcPr>
          <w:p>
            <w:pPr>
              <w:widowControl/>
              <w:jc w:val="left"/>
              <w:rPr>
                <w:rFonts w:hint="default" w:ascii="Times New Roman" w:hAnsi="Times New Roman" w:eastAsia="宋体" w:cs="Times New Roman"/>
                <w:bCs/>
                <w:szCs w:val="21"/>
              </w:rPr>
            </w:pPr>
          </w:p>
        </w:tc>
        <w:tc>
          <w:tcPr>
            <w:tcW w:w="1846"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名称</w:t>
            </w:r>
          </w:p>
        </w:tc>
        <w:tc>
          <w:tcPr>
            <w:tcW w:w="1018"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trPr>
        <w:tc>
          <w:tcPr>
            <w:tcW w:w="448"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3"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DW001</w:t>
            </w:r>
          </w:p>
        </w:tc>
        <w:tc>
          <w:tcPr>
            <w:tcW w:w="479"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综合废水</w:t>
            </w:r>
          </w:p>
        </w:tc>
        <w:tc>
          <w:tcPr>
            <w:tcW w:w="712" w:type="pct"/>
            <w:vAlign w:val="center"/>
          </w:tcPr>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COD</w:t>
            </w:r>
            <w:r>
              <w:rPr>
                <w:rFonts w:hint="default" w:ascii="Times New Roman" w:hAnsi="Times New Roman" w:eastAsia="宋体" w:cs="Times New Roman"/>
                <w:snapToGrid w:val="0"/>
                <w:szCs w:val="21"/>
                <w:vertAlign w:val="subscript"/>
              </w:rPr>
              <w:t>Cr</w:t>
            </w:r>
          </w:p>
        </w:tc>
        <w:tc>
          <w:tcPr>
            <w:tcW w:w="1846" w:type="pct"/>
            <w:vMerge w:val="restart"/>
            <w:vAlign w:val="center"/>
          </w:tcPr>
          <w:p>
            <w:pPr>
              <w:jc w:val="center"/>
              <w:rPr>
                <w:rFonts w:hint="default" w:ascii="Times New Roman" w:hAnsi="Times New Roman" w:eastAsia="宋体" w:cs="Times New Roman"/>
                <w:bCs/>
                <w:snapToGrid w:val="0"/>
                <w:szCs w:val="21"/>
                <w:lang w:val="en-US" w:eastAsia="zh-CN"/>
              </w:rPr>
            </w:pPr>
            <w:r>
              <w:rPr>
                <w:rFonts w:hint="default" w:ascii="Times New Roman" w:hAnsi="Times New Roman" w:eastAsia="宋体" w:cs="Times New Roman"/>
                <w:bCs/>
                <w:snapToGrid w:val="0"/>
                <w:szCs w:val="21"/>
              </w:rPr>
              <w:t>《污水综合排放标准》（GB8978-1996）表</w:t>
            </w:r>
            <w:r>
              <w:rPr>
                <w:rFonts w:hint="eastAsia" w:cs="Times New Roman"/>
                <w:bCs/>
                <w:snapToGrid w:val="0"/>
                <w:szCs w:val="21"/>
                <w:lang w:val="en-US" w:eastAsia="zh-CN"/>
              </w:rPr>
              <w:t>4一级标准</w:t>
            </w:r>
          </w:p>
        </w:tc>
        <w:tc>
          <w:tcPr>
            <w:tcW w:w="1018" w:type="pct"/>
            <w:vAlign w:val="center"/>
          </w:tcPr>
          <w:p>
            <w:pPr>
              <w:jc w:val="center"/>
              <w:rPr>
                <w:rFonts w:hint="default" w:ascii="Times New Roman" w:hAnsi="Times New Roman" w:eastAsia="宋体" w:cs="Times New Roman"/>
                <w:bCs/>
                <w:snapToGrid w:val="0"/>
                <w:szCs w:val="21"/>
                <w:lang w:val="en-US" w:eastAsia="zh-CN"/>
              </w:rPr>
            </w:pPr>
            <w:r>
              <w:rPr>
                <w:rFonts w:hint="eastAsia" w:cs="Times New Roman"/>
                <w:bCs/>
                <w:snapToGrid w:val="0"/>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79" w:type="pct"/>
            <w:vMerge w:val="continue"/>
            <w:vAlign w:val="center"/>
          </w:tcPr>
          <w:p>
            <w:pPr>
              <w:widowControl/>
              <w:jc w:val="left"/>
              <w:rPr>
                <w:rFonts w:hint="default" w:ascii="Times New Roman" w:hAnsi="Times New Roman" w:eastAsia="宋体" w:cs="Times New Roman"/>
                <w:szCs w:val="21"/>
              </w:rPr>
            </w:pPr>
          </w:p>
        </w:tc>
        <w:tc>
          <w:tcPr>
            <w:tcW w:w="712" w:type="pct"/>
            <w:vAlign w:val="center"/>
          </w:tcPr>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BOD</w:t>
            </w:r>
            <w:r>
              <w:rPr>
                <w:rFonts w:hint="default" w:ascii="Times New Roman" w:hAnsi="Times New Roman" w:eastAsia="宋体" w:cs="Times New Roman"/>
                <w:snapToGrid w:val="0"/>
                <w:szCs w:val="21"/>
                <w:vertAlign w:val="subscript"/>
              </w:rPr>
              <w:t>5</w:t>
            </w:r>
          </w:p>
        </w:tc>
        <w:tc>
          <w:tcPr>
            <w:tcW w:w="1846" w:type="pct"/>
            <w:vMerge w:val="continue"/>
            <w:vAlign w:val="center"/>
          </w:tcPr>
          <w:p>
            <w:pPr>
              <w:widowControl/>
              <w:jc w:val="left"/>
              <w:rPr>
                <w:rFonts w:hint="default" w:ascii="Times New Roman" w:hAnsi="Times New Roman" w:eastAsia="宋体" w:cs="Times New Roman"/>
                <w:bCs/>
                <w:snapToGrid w:val="0"/>
                <w:szCs w:val="21"/>
              </w:rPr>
            </w:pPr>
          </w:p>
        </w:tc>
        <w:tc>
          <w:tcPr>
            <w:tcW w:w="1018" w:type="pct"/>
            <w:vAlign w:val="center"/>
          </w:tcPr>
          <w:p>
            <w:pPr>
              <w:jc w:val="center"/>
              <w:rPr>
                <w:rFonts w:hint="default" w:ascii="Times New Roman" w:hAnsi="Times New Roman" w:eastAsia="宋体" w:cs="Times New Roman"/>
                <w:bCs/>
                <w:snapToGrid w:val="0"/>
                <w:szCs w:val="21"/>
                <w:lang w:val="en-US" w:eastAsia="zh-CN"/>
              </w:rPr>
            </w:pPr>
            <w:r>
              <w:rPr>
                <w:rFonts w:hint="eastAsia" w:cs="Times New Roman"/>
                <w:bCs/>
                <w:snapToGrid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79" w:type="pct"/>
            <w:vMerge w:val="continue"/>
            <w:vAlign w:val="center"/>
          </w:tcPr>
          <w:p>
            <w:pPr>
              <w:widowControl/>
              <w:jc w:val="left"/>
              <w:rPr>
                <w:rFonts w:hint="default" w:ascii="Times New Roman" w:hAnsi="Times New Roman" w:eastAsia="宋体" w:cs="Times New Roman"/>
                <w:szCs w:val="21"/>
              </w:rPr>
            </w:pPr>
          </w:p>
        </w:tc>
        <w:tc>
          <w:tcPr>
            <w:tcW w:w="712" w:type="pct"/>
            <w:vAlign w:val="center"/>
          </w:tcPr>
          <w:p>
            <w:pPr>
              <w:autoSpaceDE w:val="0"/>
              <w:autoSpaceDN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SS</w:t>
            </w:r>
          </w:p>
        </w:tc>
        <w:tc>
          <w:tcPr>
            <w:tcW w:w="1846" w:type="pct"/>
            <w:vMerge w:val="continue"/>
            <w:vAlign w:val="center"/>
          </w:tcPr>
          <w:p>
            <w:pPr>
              <w:widowControl/>
              <w:jc w:val="left"/>
              <w:rPr>
                <w:rFonts w:hint="default" w:ascii="Times New Roman" w:hAnsi="Times New Roman" w:eastAsia="宋体" w:cs="Times New Roman"/>
                <w:bCs/>
                <w:snapToGrid w:val="0"/>
                <w:szCs w:val="21"/>
              </w:rPr>
            </w:pPr>
          </w:p>
        </w:tc>
        <w:tc>
          <w:tcPr>
            <w:tcW w:w="1018" w:type="pct"/>
            <w:vAlign w:val="center"/>
          </w:tcPr>
          <w:p>
            <w:pPr>
              <w:jc w:val="center"/>
              <w:rPr>
                <w:rFonts w:hint="default" w:ascii="Times New Roman" w:hAnsi="Times New Roman" w:eastAsia="宋体" w:cs="Times New Roman"/>
                <w:bCs/>
                <w:snapToGrid w:val="0"/>
                <w:szCs w:val="21"/>
                <w:lang w:val="en-US" w:eastAsia="zh-CN"/>
              </w:rPr>
            </w:pPr>
            <w:r>
              <w:rPr>
                <w:rFonts w:hint="eastAsia" w:cs="Times New Roman"/>
                <w:bCs/>
                <w:snapToGrid w:val="0"/>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79" w:type="pct"/>
            <w:vMerge w:val="continue"/>
            <w:vAlign w:val="center"/>
          </w:tcPr>
          <w:p>
            <w:pPr>
              <w:widowControl/>
              <w:jc w:val="left"/>
              <w:rPr>
                <w:rFonts w:hint="default" w:ascii="Times New Roman" w:hAnsi="Times New Roman" w:eastAsia="宋体" w:cs="Times New Roman"/>
                <w:szCs w:val="21"/>
              </w:rPr>
            </w:pPr>
          </w:p>
        </w:tc>
        <w:tc>
          <w:tcPr>
            <w:tcW w:w="712" w:type="pct"/>
            <w:vAlign w:val="center"/>
          </w:tcPr>
          <w:p>
            <w:pPr>
              <w:autoSpaceDE w:val="0"/>
              <w:autoSpaceDN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napToGrid w:val="0"/>
                <w:szCs w:val="21"/>
              </w:rPr>
              <w:t>NH</w:t>
            </w:r>
            <w:r>
              <w:rPr>
                <w:rFonts w:hint="default" w:ascii="Times New Roman" w:hAnsi="Times New Roman" w:eastAsia="宋体" w:cs="Times New Roman"/>
                <w:bCs/>
                <w:snapToGrid w:val="0"/>
                <w:szCs w:val="21"/>
                <w:vertAlign w:val="subscript"/>
              </w:rPr>
              <w:t>3</w:t>
            </w:r>
            <w:r>
              <w:rPr>
                <w:rFonts w:hint="default" w:ascii="Times New Roman" w:hAnsi="Times New Roman" w:eastAsia="宋体" w:cs="Times New Roman"/>
                <w:bCs/>
                <w:snapToGrid w:val="0"/>
                <w:szCs w:val="21"/>
              </w:rPr>
              <w:t>-N</w:t>
            </w:r>
          </w:p>
        </w:tc>
        <w:tc>
          <w:tcPr>
            <w:tcW w:w="1846" w:type="pct"/>
            <w:vMerge w:val="continue"/>
            <w:vAlign w:val="center"/>
          </w:tcPr>
          <w:p>
            <w:pPr>
              <w:widowControl/>
              <w:jc w:val="left"/>
              <w:rPr>
                <w:rFonts w:hint="default" w:ascii="Times New Roman" w:hAnsi="Times New Roman" w:eastAsia="宋体" w:cs="Times New Roman"/>
                <w:bCs/>
                <w:snapToGrid w:val="0"/>
                <w:kern w:val="2"/>
                <w:sz w:val="21"/>
                <w:szCs w:val="21"/>
                <w:lang w:val="en-US" w:eastAsia="zh-CN" w:bidi="ar-SA"/>
              </w:rPr>
            </w:pPr>
          </w:p>
        </w:tc>
        <w:tc>
          <w:tcPr>
            <w:tcW w:w="1018" w:type="pct"/>
            <w:vAlign w:val="center"/>
          </w:tcPr>
          <w:p>
            <w:pPr>
              <w:jc w:val="center"/>
              <w:rPr>
                <w:rFonts w:hint="default" w:ascii="Times New Roman" w:hAnsi="Times New Roman" w:eastAsia="宋体" w:cs="Times New Roman"/>
                <w:bCs/>
                <w:snapToGrid w:val="0"/>
                <w:kern w:val="2"/>
                <w:sz w:val="21"/>
                <w:szCs w:val="21"/>
                <w:lang w:val="en-US" w:eastAsia="zh-CN" w:bidi="ar-SA"/>
              </w:rPr>
            </w:pPr>
            <w:r>
              <w:rPr>
                <w:rFonts w:hint="eastAsia" w:cs="Times New Roman"/>
                <w:bCs/>
                <w:snapToGrid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79" w:type="pct"/>
            <w:vMerge w:val="continue"/>
            <w:vAlign w:val="center"/>
          </w:tcPr>
          <w:p>
            <w:pPr>
              <w:widowControl/>
              <w:jc w:val="left"/>
              <w:rPr>
                <w:rFonts w:hint="default" w:ascii="Times New Roman" w:hAnsi="Times New Roman" w:eastAsia="宋体" w:cs="Times New Roman"/>
                <w:szCs w:val="21"/>
              </w:rPr>
            </w:pPr>
          </w:p>
        </w:tc>
        <w:tc>
          <w:tcPr>
            <w:tcW w:w="712" w:type="pct"/>
            <w:vAlign w:val="center"/>
          </w:tcPr>
          <w:p>
            <w:pPr>
              <w:autoSpaceDE w:val="0"/>
              <w:autoSpaceDN w:val="0"/>
              <w:jc w:val="center"/>
              <w:rPr>
                <w:rFonts w:hint="default"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TN</w:t>
            </w:r>
          </w:p>
        </w:tc>
        <w:tc>
          <w:tcPr>
            <w:tcW w:w="1846" w:type="pct"/>
            <w:vMerge w:val="continue"/>
            <w:vAlign w:val="center"/>
          </w:tcPr>
          <w:p>
            <w:pPr>
              <w:widowControl/>
              <w:jc w:val="left"/>
              <w:rPr>
                <w:rFonts w:hint="default" w:ascii="Times New Roman" w:hAnsi="Times New Roman" w:eastAsia="宋体" w:cs="Times New Roman"/>
                <w:bCs/>
                <w:snapToGrid w:val="0"/>
                <w:szCs w:val="21"/>
              </w:rPr>
            </w:pPr>
          </w:p>
        </w:tc>
        <w:tc>
          <w:tcPr>
            <w:tcW w:w="1018" w:type="pct"/>
            <w:vAlign w:val="center"/>
          </w:tcPr>
          <w:p>
            <w:pPr>
              <w:jc w:val="center"/>
              <w:rPr>
                <w:rFonts w:hint="default" w:ascii="Times New Roman" w:hAnsi="Times New Roman" w:eastAsia="宋体" w:cs="Times New Roman"/>
                <w:bCs/>
                <w:snapToGrid w:val="0"/>
                <w:szCs w:val="21"/>
                <w:lang w:val="en-US" w:eastAsia="zh-CN"/>
              </w:rPr>
            </w:pPr>
            <w:r>
              <w:rPr>
                <w:rFonts w:hint="default" w:ascii="Times New Roman" w:hAnsi="Times New Roman" w:eastAsia="宋体" w:cs="Times New Roman"/>
                <w:bCs/>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8" w:type="pct"/>
            <w:vMerge w:val="continue"/>
            <w:vAlign w:val="center"/>
          </w:tcPr>
          <w:p>
            <w:pPr>
              <w:widowControl/>
              <w:jc w:val="left"/>
              <w:rPr>
                <w:rFonts w:hint="default" w:ascii="Times New Roman" w:hAnsi="Times New Roman" w:eastAsia="宋体" w:cs="Times New Roman"/>
                <w:szCs w:val="21"/>
              </w:rPr>
            </w:pPr>
          </w:p>
        </w:tc>
        <w:tc>
          <w:tcPr>
            <w:tcW w:w="493" w:type="pct"/>
            <w:vMerge w:val="continue"/>
            <w:vAlign w:val="center"/>
          </w:tcPr>
          <w:p>
            <w:pPr>
              <w:widowControl/>
              <w:jc w:val="left"/>
              <w:rPr>
                <w:rFonts w:hint="default" w:ascii="Times New Roman" w:hAnsi="Times New Roman" w:eastAsia="宋体" w:cs="Times New Roman"/>
                <w:szCs w:val="21"/>
              </w:rPr>
            </w:pPr>
          </w:p>
        </w:tc>
        <w:tc>
          <w:tcPr>
            <w:tcW w:w="479" w:type="pct"/>
            <w:vMerge w:val="continue"/>
            <w:vAlign w:val="center"/>
          </w:tcPr>
          <w:p>
            <w:pPr>
              <w:widowControl/>
              <w:jc w:val="left"/>
              <w:rPr>
                <w:rFonts w:hint="default" w:ascii="Times New Roman" w:hAnsi="Times New Roman" w:eastAsia="宋体" w:cs="Times New Roman"/>
                <w:szCs w:val="21"/>
              </w:rPr>
            </w:pPr>
          </w:p>
        </w:tc>
        <w:tc>
          <w:tcPr>
            <w:tcW w:w="712" w:type="pct"/>
            <w:vAlign w:val="center"/>
          </w:tcPr>
          <w:p>
            <w:pPr>
              <w:autoSpaceDE w:val="0"/>
              <w:autoSpaceDN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TP</w:t>
            </w:r>
          </w:p>
        </w:tc>
        <w:tc>
          <w:tcPr>
            <w:tcW w:w="1846" w:type="pct"/>
            <w:vMerge w:val="continue"/>
            <w:vAlign w:val="center"/>
          </w:tcPr>
          <w:p>
            <w:pPr>
              <w:widowControl/>
              <w:jc w:val="left"/>
              <w:rPr>
                <w:rFonts w:hint="default" w:ascii="Times New Roman" w:hAnsi="Times New Roman" w:eastAsia="宋体" w:cs="Times New Roman"/>
                <w:bCs/>
                <w:snapToGrid w:val="0"/>
                <w:szCs w:val="21"/>
              </w:rPr>
            </w:pPr>
          </w:p>
        </w:tc>
        <w:tc>
          <w:tcPr>
            <w:tcW w:w="1018" w:type="pct"/>
            <w:vAlign w:val="center"/>
          </w:tcPr>
          <w:p>
            <w:pPr>
              <w:jc w:val="center"/>
              <w:rPr>
                <w:rFonts w:hint="default" w:ascii="Times New Roman" w:hAnsi="Times New Roman" w:eastAsia="宋体" w:cs="Times New Roman"/>
                <w:bCs/>
                <w:snapToGrid w:val="0"/>
                <w:szCs w:val="21"/>
                <w:lang w:val="en-US" w:eastAsia="zh-CN"/>
              </w:rPr>
            </w:pPr>
            <w:r>
              <w:rPr>
                <w:rFonts w:hint="eastAsia" w:cs="Times New Roman"/>
                <w:bCs/>
                <w:snapToGrid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vAlign w:val="center"/>
          </w:tcPr>
          <w:p>
            <w:pPr>
              <w:pStyle w:val="74"/>
              <w:ind w:firstLine="210"/>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a 指对应排放口须执行的国家或地方污染物排放标准以及其他按规定商定建设项目水污染物排放控制要求的协议，据此确定的排放浓度限值。</w:t>
            </w:r>
          </w:p>
        </w:tc>
      </w:tr>
    </w:tbl>
    <w:p>
      <w:pPr>
        <w:pStyle w:val="98"/>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rPr>
        <w:br w:type="page"/>
      </w:r>
      <w:r>
        <w:rPr>
          <w:rFonts w:hint="default" w:ascii="Times New Roman" w:hAnsi="Times New Roman" w:eastAsia="宋体" w:cs="Times New Roman"/>
          <w:b/>
          <w:bCs/>
          <w:color w:val="auto"/>
          <w:kern w:val="0"/>
          <w:sz w:val="24"/>
          <w:szCs w:val="20"/>
        </w:rPr>
        <w:t>表4</w:t>
      </w:r>
      <w:r>
        <w:rPr>
          <w:rFonts w:hint="eastAsia" w:ascii="Times New Roman" w:hAnsi="Times New Roman" w:eastAsia="宋体" w:cs="Times New Roman"/>
          <w:b/>
          <w:bCs/>
          <w:color w:val="auto"/>
          <w:kern w:val="0"/>
          <w:sz w:val="24"/>
          <w:szCs w:val="20"/>
          <w:lang w:val="en-US" w:eastAsia="zh-CN"/>
        </w:rPr>
        <w:t>.3</w:t>
      </w:r>
      <w:r>
        <w:rPr>
          <w:rFonts w:hint="default" w:ascii="Times New Roman" w:hAnsi="Times New Roman" w:eastAsia="宋体" w:cs="Times New Roman"/>
          <w:b/>
          <w:bCs/>
          <w:color w:val="auto"/>
          <w:kern w:val="0"/>
          <w:sz w:val="24"/>
          <w:szCs w:val="20"/>
        </w:rPr>
        <w:t>-</w:t>
      </w:r>
      <w:r>
        <w:rPr>
          <w:rFonts w:hint="eastAsia" w:ascii="Times New Roman" w:hAnsi="Times New Roman" w:eastAsia="宋体" w:cs="Times New Roman"/>
          <w:b/>
          <w:bCs/>
          <w:color w:val="auto"/>
          <w:kern w:val="0"/>
          <w:sz w:val="24"/>
          <w:szCs w:val="20"/>
          <w:lang w:val="en-US" w:eastAsia="zh-CN"/>
        </w:rPr>
        <w:t>4</w:t>
      </w:r>
      <w:r>
        <w:rPr>
          <w:rFonts w:hint="default" w:ascii="Times New Roman" w:hAnsi="Times New Roman" w:eastAsia="宋体" w:cs="Times New Roman"/>
          <w:b/>
          <w:bCs/>
          <w:color w:val="auto"/>
          <w:kern w:val="0"/>
          <w:sz w:val="24"/>
          <w:szCs w:val="20"/>
        </w:rPr>
        <w:t xml:space="preserve"> 废水污染物排放信息表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1151"/>
        <w:gridCol w:w="1336"/>
        <w:gridCol w:w="1598"/>
        <w:gridCol w:w="1583"/>
        <w:gridCol w:w="1419"/>
        <w:gridCol w:w="14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序号</w:t>
            </w:r>
          </w:p>
        </w:tc>
        <w:tc>
          <w:tcPr>
            <w:tcW w:w="584"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排放口编号</w:t>
            </w:r>
          </w:p>
        </w:tc>
        <w:tc>
          <w:tcPr>
            <w:tcW w:w="1488" w:type="pct"/>
            <w:gridSpan w:val="2"/>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污染物种类</w:t>
            </w:r>
          </w:p>
        </w:tc>
        <w:tc>
          <w:tcPr>
            <w:tcW w:w="803"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排放浓度/（mg/L）</w:t>
            </w:r>
          </w:p>
        </w:tc>
        <w:tc>
          <w:tcPr>
            <w:tcW w:w="720"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日排放量/（t/d）</w:t>
            </w:r>
          </w:p>
        </w:tc>
        <w:tc>
          <w:tcPr>
            <w:tcW w:w="749" w:type="pct"/>
            <w:vAlign w:val="center"/>
          </w:tcPr>
          <w:p>
            <w:pPr>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84"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DW001</w:t>
            </w:r>
          </w:p>
        </w:tc>
        <w:tc>
          <w:tcPr>
            <w:tcW w:w="677" w:type="pct"/>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生产废水+生活污水=综合废水</w:t>
            </w:r>
          </w:p>
        </w:tc>
        <w:tc>
          <w:tcPr>
            <w:tcW w:w="810" w:type="pct"/>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COD</w:t>
            </w:r>
            <w:r>
              <w:rPr>
                <w:rFonts w:hint="default" w:ascii="Times New Roman" w:hAnsi="Times New Roman" w:eastAsia="宋体" w:cs="Times New Roman"/>
                <w:snapToGrid w:val="0"/>
                <w:szCs w:val="21"/>
                <w:vertAlign w:val="subscript"/>
              </w:rPr>
              <w:t>Cr</w:t>
            </w:r>
          </w:p>
        </w:tc>
        <w:tc>
          <w:tcPr>
            <w:tcW w:w="803"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93.08</w:t>
            </w:r>
          </w:p>
        </w:tc>
        <w:tc>
          <w:tcPr>
            <w:tcW w:w="720"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0.00506</w:t>
            </w:r>
          </w:p>
        </w:tc>
        <w:tc>
          <w:tcPr>
            <w:tcW w:w="749"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1.518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Merge w:val="continue"/>
            <w:vAlign w:val="center"/>
          </w:tcPr>
          <w:p>
            <w:pPr>
              <w:widowControl/>
              <w:jc w:val="left"/>
              <w:rPr>
                <w:rFonts w:hint="default" w:ascii="Times New Roman" w:hAnsi="Times New Roman" w:eastAsia="宋体" w:cs="Times New Roman"/>
                <w:szCs w:val="21"/>
              </w:rPr>
            </w:pPr>
          </w:p>
        </w:tc>
        <w:tc>
          <w:tcPr>
            <w:tcW w:w="584" w:type="pct"/>
            <w:vMerge w:val="continue"/>
            <w:vAlign w:val="center"/>
          </w:tcPr>
          <w:p>
            <w:pPr>
              <w:widowControl/>
              <w:jc w:val="left"/>
              <w:rPr>
                <w:rFonts w:hint="default" w:ascii="Times New Roman" w:hAnsi="Times New Roman" w:eastAsia="宋体" w:cs="Times New Roman"/>
                <w:szCs w:val="21"/>
              </w:rPr>
            </w:pPr>
          </w:p>
        </w:tc>
        <w:tc>
          <w:tcPr>
            <w:tcW w:w="677" w:type="pct"/>
            <w:vMerge w:val="continue"/>
            <w:vAlign w:val="center"/>
          </w:tcPr>
          <w:p>
            <w:pPr>
              <w:widowControl/>
              <w:jc w:val="left"/>
              <w:rPr>
                <w:rFonts w:hint="default" w:ascii="Times New Roman" w:hAnsi="Times New Roman" w:eastAsia="宋体" w:cs="Times New Roman"/>
                <w:szCs w:val="21"/>
              </w:rPr>
            </w:pPr>
          </w:p>
        </w:tc>
        <w:tc>
          <w:tcPr>
            <w:tcW w:w="810" w:type="pct"/>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BOD</w:t>
            </w:r>
            <w:r>
              <w:rPr>
                <w:rFonts w:hint="default" w:ascii="Times New Roman" w:hAnsi="Times New Roman" w:eastAsia="宋体" w:cs="Times New Roman"/>
                <w:snapToGrid w:val="0"/>
                <w:szCs w:val="21"/>
                <w:vertAlign w:val="subscript"/>
              </w:rPr>
              <w:t>5</w:t>
            </w:r>
          </w:p>
        </w:tc>
        <w:tc>
          <w:tcPr>
            <w:tcW w:w="803"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18.13</w:t>
            </w:r>
          </w:p>
        </w:tc>
        <w:tc>
          <w:tcPr>
            <w:tcW w:w="720"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0.000987</w:t>
            </w:r>
          </w:p>
        </w:tc>
        <w:tc>
          <w:tcPr>
            <w:tcW w:w="749"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0.296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Merge w:val="continue"/>
            <w:vAlign w:val="center"/>
          </w:tcPr>
          <w:p>
            <w:pPr>
              <w:widowControl/>
              <w:jc w:val="left"/>
              <w:rPr>
                <w:rFonts w:hint="default" w:ascii="Times New Roman" w:hAnsi="Times New Roman" w:eastAsia="宋体" w:cs="Times New Roman"/>
                <w:szCs w:val="21"/>
              </w:rPr>
            </w:pPr>
          </w:p>
        </w:tc>
        <w:tc>
          <w:tcPr>
            <w:tcW w:w="584" w:type="pct"/>
            <w:vMerge w:val="continue"/>
            <w:vAlign w:val="center"/>
          </w:tcPr>
          <w:p>
            <w:pPr>
              <w:widowControl/>
              <w:jc w:val="left"/>
              <w:rPr>
                <w:rFonts w:hint="default" w:ascii="Times New Roman" w:hAnsi="Times New Roman" w:eastAsia="宋体" w:cs="Times New Roman"/>
                <w:szCs w:val="21"/>
              </w:rPr>
            </w:pPr>
          </w:p>
        </w:tc>
        <w:tc>
          <w:tcPr>
            <w:tcW w:w="677" w:type="pct"/>
            <w:vMerge w:val="continue"/>
            <w:vAlign w:val="center"/>
          </w:tcPr>
          <w:p>
            <w:pPr>
              <w:widowControl/>
              <w:jc w:val="left"/>
              <w:rPr>
                <w:rFonts w:hint="default" w:ascii="Times New Roman" w:hAnsi="Times New Roman" w:eastAsia="宋体" w:cs="Times New Roman"/>
                <w:szCs w:val="21"/>
              </w:rPr>
            </w:pPr>
          </w:p>
        </w:tc>
        <w:tc>
          <w:tcPr>
            <w:tcW w:w="810" w:type="pct"/>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SS</w:t>
            </w:r>
          </w:p>
        </w:tc>
        <w:tc>
          <w:tcPr>
            <w:tcW w:w="803"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18.67</w:t>
            </w:r>
          </w:p>
        </w:tc>
        <w:tc>
          <w:tcPr>
            <w:tcW w:w="720"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0.001017</w:t>
            </w:r>
          </w:p>
        </w:tc>
        <w:tc>
          <w:tcPr>
            <w:tcW w:w="749"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0.305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Merge w:val="continue"/>
            <w:vAlign w:val="center"/>
          </w:tcPr>
          <w:p>
            <w:pPr>
              <w:widowControl/>
              <w:jc w:val="left"/>
              <w:rPr>
                <w:rFonts w:hint="default" w:ascii="Times New Roman" w:hAnsi="Times New Roman" w:eastAsia="宋体" w:cs="Times New Roman"/>
                <w:szCs w:val="21"/>
              </w:rPr>
            </w:pPr>
          </w:p>
        </w:tc>
        <w:tc>
          <w:tcPr>
            <w:tcW w:w="584" w:type="pct"/>
            <w:vMerge w:val="continue"/>
            <w:vAlign w:val="center"/>
          </w:tcPr>
          <w:p>
            <w:pPr>
              <w:widowControl/>
              <w:jc w:val="left"/>
              <w:rPr>
                <w:rFonts w:hint="default" w:ascii="Times New Roman" w:hAnsi="Times New Roman" w:eastAsia="宋体" w:cs="Times New Roman"/>
                <w:szCs w:val="21"/>
              </w:rPr>
            </w:pPr>
          </w:p>
        </w:tc>
        <w:tc>
          <w:tcPr>
            <w:tcW w:w="677" w:type="pct"/>
            <w:vMerge w:val="continue"/>
            <w:vAlign w:val="center"/>
          </w:tcPr>
          <w:p>
            <w:pPr>
              <w:widowControl/>
              <w:jc w:val="left"/>
              <w:rPr>
                <w:rFonts w:hint="default" w:ascii="Times New Roman" w:hAnsi="Times New Roman" w:eastAsia="宋体" w:cs="Times New Roman"/>
                <w:szCs w:val="21"/>
              </w:rPr>
            </w:pPr>
          </w:p>
        </w:tc>
        <w:tc>
          <w:tcPr>
            <w:tcW w:w="810" w:type="pct"/>
            <w:vAlign w:val="center"/>
          </w:tcPr>
          <w:p>
            <w:pPr>
              <w:autoSpaceDE w:val="0"/>
              <w:autoSpaceDN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napToGrid w:val="0"/>
                <w:szCs w:val="21"/>
              </w:rPr>
              <w:t>NH</w:t>
            </w:r>
            <w:r>
              <w:rPr>
                <w:rFonts w:hint="default" w:ascii="Times New Roman" w:hAnsi="Times New Roman" w:eastAsia="宋体" w:cs="Times New Roman"/>
                <w:bCs/>
                <w:snapToGrid w:val="0"/>
                <w:szCs w:val="21"/>
                <w:vertAlign w:val="subscript"/>
              </w:rPr>
              <w:t>3</w:t>
            </w:r>
            <w:r>
              <w:rPr>
                <w:rFonts w:hint="default" w:ascii="Times New Roman" w:hAnsi="Times New Roman" w:eastAsia="宋体" w:cs="Times New Roman"/>
                <w:bCs/>
                <w:snapToGrid w:val="0"/>
                <w:szCs w:val="21"/>
              </w:rPr>
              <w:t>-N</w:t>
            </w:r>
          </w:p>
        </w:tc>
        <w:tc>
          <w:tcPr>
            <w:tcW w:w="803"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5.26</w:t>
            </w:r>
          </w:p>
        </w:tc>
        <w:tc>
          <w:tcPr>
            <w:tcW w:w="720"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0.000287</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4" w:type="pct"/>
            <w:vMerge w:val="continue"/>
            <w:vAlign w:val="center"/>
          </w:tcPr>
          <w:p>
            <w:pPr>
              <w:widowControl/>
              <w:jc w:val="left"/>
              <w:rPr>
                <w:rFonts w:hint="default" w:ascii="Times New Roman" w:hAnsi="Times New Roman" w:eastAsia="宋体" w:cs="Times New Roman"/>
                <w:szCs w:val="21"/>
              </w:rPr>
            </w:pPr>
          </w:p>
        </w:tc>
        <w:tc>
          <w:tcPr>
            <w:tcW w:w="584" w:type="pct"/>
            <w:vMerge w:val="continue"/>
            <w:vAlign w:val="center"/>
          </w:tcPr>
          <w:p>
            <w:pPr>
              <w:widowControl/>
              <w:jc w:val="left"/>
              <w:rPr>
                <w:rFonts w:hint="default" w:ascii="Times New Roman" w:hAnsi="Times New Roman" w:eastAsia="宋体" w:cs="Times New Roman"/>
                <w:szCs w:val="21"/>
              </w:rPr>
            </w:pPr>
          </w:p>
        </w:tc>
        <w:tc>
          <w:tcPr>
            <w:tcW w:w="677" w:type="pct"/>
            <w:vMerge w:val="continue"/>
            <w:vAlign w:val="center"/>
          </w:tcPr>
          <w:p>
            <w:pPr>
              <w:widowControl/>
              <w:jc w:val="left"/>
              <w:rPr>
                <w:rFonts w:hint="default" w:ascii="Times New Roman" w:hAnsi="Times New Roman" w:eastAsia="宋体" w:cs="Times New Roman"/>
                <w:szCs w:val="21"/>
              </w:rPr>
            </w:pPr>
          </w:p>
        </w:tc>
        <w:tc>
          <w:tcPr>
            <w:tcW w:w="810" w:type="pct"/>
            <w:vAlign w:val="center"/>
          </w:tcPr>
          <w:p>
            <w:pPr>
              <w:autoSpaceDE w:val="0"/>
              <w:autoSpaceDN w:val="0"/>
              <w:spacing w:line="240" w:lineRule="exact"/>
              <w:jc w:val="center"/>
              <w:rPr>
                <w:rFonts w:hint="default"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TN</w:t>
            </w:r>
          </w:p>
        </w:tc>
        <w:tc>
          <w:tcPr>
            <w:tcW w:w="803" w:type="pct"/>
            <w:vAlign w:val="center"/>
          </w:tcPr>
          <w:p>
            <w:pPr>
              <w:jc w:val="center"/>
              <w:rPr>
                <w:rFonts w:hint="default" w:ascii="Times New Roman" w:hAnsi="Times New Roman" w:eastAsia="宋体" w:cs="Times New Roman"/>
                <w:color w:val="000000"/>
                <w:szCs w:val="21"/>
                <w:lang w:val="en-US"/>
              </w:rPr>
            </w:pPr>
            <w:r>
              <w:rPr>
                <w:rFonts w:hint="eastAsia" w:cs="Times New Roman"/>
                <w:i w:val="0"/>
                <w:iCs w:val="0"/>
                <w:color w:val="000000"/>
                <w:kern w:val="0"/>
                <w:sz w:val="21"/>
                <w:szCs w:val="21"/>
                <w:u w:val="none"/>
                <w:lang w:val="en-US" w:eastAsia="zh-CN" w:bidi="ar"/>
              </w:rPr>
              <w:t>0.315</w:t>
            </w:r>
          </w:p>
        </w:tc>
        <w:tc>
          <w:tcPr>
            <w:tcW w:w="720" w:type="pct"/>
            <w:vAlign w:val="center"/>
          </w:tcPr>
          <w:p>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0.00105</w:t>
            </w:r>
          </w:p>
        </w:tc>
        <w:tc>
          <w:tcPr>
            <w:tcW w:w="749" w:type="pct"/>
            <w:vAlign w:val="center"/>
          </w:tcPr>
          <w:p>
            <w:pPr>
              <w:jc w:val="center"/>
              <w:rPr>
                <w:rFonts w:hint="default" w:ascii="Times New Roman" w:hAnsi="Times New Roman" w:eastAsia="宋体" w:cs="Times New Roman"/>
                <w:color w:val="000000"/>
                <w:szCs w:val="21"/>
              </w:rPr>
            </w:pPr>
            <w:r>
              <w:rPr>
                <w:rFonts w:hint="eastAsia" w:cs="Times New Roman"/>
                <w:i w:val="0"/>
                <w:iCs w:val="0"/>
                <w:color w:val="000000"/>
                <w:kern w:val="0"/>
                <w:sz w:val="21"/>
                <w:szCs w:val="21"/>
                <w:u w:val="none"/>
                <w:lang w:val="en-US" w:eastAsia="zh-CN" w:bidi="ar"/>
              </w:rPr>
              <w:t>0.315</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8" w:type="pct"/>
            <w:gridSpan w:val="2"/>
            <w:vMerge w:val="restar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全厂排放口合计</w:t>
            </w:r>
          </w:p>
        </w:tc>
        <w:tc>
          <w:tcPr>
            <w:tcW w:w="3012" w:type="pct"/>
            <w:gridSpan w:val="4"/>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COD</w:t>
            </w:r>
            <w:r>
              <w:rPr>
                <w:rFonts w:hint="default" w:ascii="Times New Roman" w:hAnsi="Times New Roman" w:eastAsia="宋体" w:cs="Times New Roman"/>
                <w:snapToGrid w:val="0"/>
                <w:szCs w:val="21"/>
                <w:vertAlign w:val="subscript"/>
              </w:rPr>
              <w:t>Cr</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1.518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8" w:type="pct"/>
            <w:gridSpan w:val="2"/>
            <w:vMerge w:val="continue"/>
            <w:vAlign w:val="center"/>
          </w:tcPr>
          <w:p>
            <w:pPr>
              <w:widowControl/>
              <w:jc w:val="left"/>
              <w:rPr>
                <w:rFonts w:hint="default" w:ascii="Times New Roman" w:hAnsi="Times New Roman" w:eastAsia="宋体" w:cs="Times New Roman"/>
                <w:szCs w:val="21"/>
              </w:rPr>
            </w:pPr>
          </w:p>
        </w:tc>
        <w:tc>
          <w:tcPr>
            <w:tcW w:w="3012" w:type="pct"/>
            <w:gridSpan w:val="4"/>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BOD</w:t>
            </w:r>
            <w:r>
              <w:rPr>
                <w:rFonts w:hint="default" w:ascii="Times New Roman" w:hAnsi="Times New Roman" w:eastAsia="宋体" w:cs="Times New Roman"/>
                <w:snapToGrid w:val="0"/>
                <w:szCs w:val="21"/>
                <w:vertAlign w:val="subscript"/>
              </w:rPr>
              <w:t>5</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0.296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8" w:type="pct"/>
            <w:gridSpan w:val="2"/>
            <w:vMerge w:val="continue"/>
            <w:vAlign w:val="center"/>
          </w:tcPr>
          <w:p>
            <w:pPr>
              <w:widowControl/>
              <w:jc w:val="left"/>
              <w:rPr>
                <w:rFonts w:hint="default" w:ascii="Times New Roman" w:hAnsi="Times New Roman" w:eastAsia="宋体" w:cs="Times New Roman"/>
                <w:szCs w:val="21"/>
              </w:rPr>
            </w:pPr>
          </w:p>
        </w:tc>
        <w:tc>
          <w:tcPr>
            <w:tcW w:w="3012" w:type="pct"/>
            <w:gridSpan w:val="4"/>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SS</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0.305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8" w:type="pct"/>
            <w:gridSpan w:val="2"/>
            <w:vMerge w:val="continue"/>
            <w:vAlign w:val="center"/>
          </w:tcPr>
          <w:p>
            <w:pPr>
              <w:widowControl/>
              <w:jc w:val="left"/>
              <w:rPr>
                <w:rFonts w:hint="default" w:ascii="Times New Roman" w:hAnsi="Times New Roman" w:eastAsia="宋体" w:cs="Times New Roman"/>
                <w:szCs w:val="21"/>
              </w:rPr>
            </w:pPr>
          </w:p>
        </w:tc>
        <w:tc>
          <w:tcPr>
            <w:tcW w:w="3012" w:type="pct"/>
            <w:gridSpan w:val="4"/>
            <w:vAlign w:val="center"/>
          </w:tcPr>
          <w:p>
            <w:pPr>
              <w:autoSpaceDE w:val="0"/>
              <w:autoSpaceDN w:val="0"/>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bCs/>
                <w:snapToGrid w:val="0"/>
                <w:szCs w:val="21"/>
              </w:rPr>
              <w:t>NH</w:t>
            </w:r>
            <w:r>
              <w:rPr>
                <w:rFonts w:hint="default" w:ascii="Times New Roman" w:hAnsi="Times New Roman" w:eastAsia="宋体" w:cs="Times New Roman"/>
                <w:bCs/>
                <w:snapToGrid w:val="0"/>
                <w:szCs w:val="21"/>
                <w:vertAlign w:val="subscript"/>
              </w:rPr>
              <w:t>3</w:t>
            </w:r>
            <w:r>
              <w:rPr>
                <w:rFonts w:hint="default" w:ascii="Times New Roman" w:hAnsi="Times New Roman" w:eastAsia="宋体" w:cs="Times New Roman"/>
                <w:bCs/>
                <w:snapToGrid w:val="0"/>
                <w:szCs w:val="21"/>
              </w:rPr>
              <w:t>-N</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8" w:type="pct"/>
            <w:gridSpan w:val="2"/>
            <w:vMerge w:val="continue"/>
            <w:vAlign w:val="center"/>
          </w:tcPr>
          <w:p>
            <w:pPr>
              <w:widowControl/>
              <w:jc w:val="left"/>
              <w:rPr>
                <w:rFonts w:hint="default" w:ascii="Times New Roman" w:hAnsi="Times New Roman" w:eastAsia="宋体" w:cs="Times New Roman"/>
                <w:szCs w:val="21"/>
              </w:rPr>
            </w:pPr>
          </w:p>
        </w:tc>
        <w:tc>
          <w:tcPr>
            <w:tcW w:w="3012" w:type="pct"/>
            <w:gridSpan w:val="4"/>
            <w:vAlign w:val="center"/>
          </w:tcPr>
          <w:p>
            <w:pPr>
              <w:autoSpaceDE w:val="0"/>
              <w:autoSpaceDN w:val="0"/>
              <w:spacing w:line="240" w:lineRule="exact"/>
              <w:jc w:val="center"/>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szCs w:val="21"/>
                <w:lang w:val="en-US" w:eastAsia="zh-CN"/>
              </w:rPr>
              <w:t>TN</w:t>
            </w:r>
          </w:p>
        </w:tc>
        <w:tc>
          <w:tcPr>
            <w:tcW w:w="749"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i w:val="0"/>
                <w:iCs w:val="0"/>
                <w:color w:val="000000"/>
                <w:kern w:val="0"/>
                <w:sz w:val="21"/>
                <w:szCs w:val="21"/>
                <w:u w:val="none"/>
                <w:lang w:val="en-US" w:eastAsia="zh-CN" w:bidi="ar"/>
              </w:rPr>
              <w:t>0.315</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bl>
    <w:p>
      <w:pPr>
        <w:spacing w:line="360" w:lineRule="auto"/>
        <w:ind w:firstLine="482" w:firstLineChars="200"/>
        <w:rPr>
          <w:rFonts w:hint="default" w:ascii="Times New Roman" w:hAnsi="Times New Roman" w:eastAsia="宋体" w:cs="Times New Roman"/>
          <w:b/>
          <w:bCs/>
          <w:color w:val="auto"/>
          <w:kern w:val="0"/>
          <w:sz w:val="24"/>
          <w:szCs w:val="20"/>
        </w:rPr>
        <w:sectPr>
          <w:pgSz w:w="11906" w:h="16838"/>
          <w:pgMar w:top="1361" w:right="1134" w:bottom="1361" w:left="1134" w:header="851" w:footer="850" w:gutter="0"/>
          <w:pgNumType w:fmt="numberInDash"/>
          <w:cols w:space="720" w:num="1"/>
          <w:docGrid w:linePitch="312" w:charSpace="0"/>
        </w:sectPr>
      </w:pPr>
    </w:p>
    <w:p>
      <w:pPr>
        <w:spacing w:line="360" w:lineRule="auto"/>
        <w:ind w:firstLine="482" w:firstLineChars="200"/>
        <w:jc w:val="center"/>
        <w:rPr>
          <w:rFonts w:hint="default" w:ascii="Times New Roman" w:hAnsi="Times New Roman" w:eastAsia="宋体" w:cs="Times New Roman"/>
          <w:color w:val="000000"/>
          <w:kern w:val="0"/>
          <w:sz w:val="24"/>
          <w:lang w:val="en-US" w:eastAsia="zh-CN"/>
        </w:rPr>
      </w:pPr>
      <w:r>
        <w:rPr>
          <w:rFonts w:hint="default" w:ascii="Times New Roman" w:hAnsi="Times New Roman" w:eastAsia="宋体" w:cs="Times New Roman"/>
          <w:b/>
          <w:bCs/>
          <w:color w:val="auto"/>
          <w:kern w:val="0"/>
          <w:sz w:val="24"/>
          <w:szCs w:val="20"/>
        </w:rPr>
        <w:t>表4</w:t>
      </w:r>
      <w:r>
        <w:rPr>
          <w:rFonts w:hint="eastAsia" w:ascii="Times New Roman" w:hAnsi="Times New Roman" w:eastAsia="宋体" w:cs="Times New Roman"/>
          <w:b/>
          <w:bCs/>
          <w:color w:val="auto"/>
          <w:kern w:val="0"/>
          <w:sz w:val="24"/>
          <w:szCs w:val="20"/>
          <w:lang w:val="en-US" w:eastAsia="zh-CN"/>
        </w:rPr>
        <w:t>.3</w:t>
      </w:r>
      <w:r>
        <w:rPr>
          <w:rFonts w:hint="default" w:ascii="Times New Roman" w:hAnsi="Times New Roman" w:eastAsia="宋体" w:cs="Times New Roman"/>
          <w:b/>
          <w:bCs/>
          <w:color w:val="auto"/>
          <w:kern w:val="0"/>
          <w:sz w:val="24"/>
          <w:szCs w:val="20"/>
        </w:rPr>
        <w:t>-</w:t>
      </w:r>
      <w:r>
        <w:rPr>
          <w:rFonts w:hint="eastAsia" w:ascii="Times New Roman" w:hAnsi="Times New Roman" w:eastAsia="宋体" w:cs="Times New Roman"/>
          <w:b/>
          <w:bCs/>
          <w:color w:val="auto"/>
          <w:kern w:val="0"/>
          <w:sz w:val="24"/>
          <w:szCs w:val="20"/>
          <w:lang w:val="en-US" w:eastAsia="zh-CN"/>
        </w:rPr>
        <w:t>5环境影响评价自查表</w:t>
      </w:r>
    </w:p>
    <w:tbl>
      <w:tblPr>
        <w:tblStyle w:val="33"/>
        <w:tblW w:w="141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10"/>
        <w:gridCol w:w="1662"/>
        <w:gridCol w:w="3369"/>
        <w:gridCol w:w="513"/>
        <w:gridCol w:w="89"/>
        <w:gridCol w:w="776"/>
        <w:gridCol w:w="692"/>
        <w:gridCol w:w="1037"/>
        <w:gridCol w:w="1032"/>
        <w:gridCol w:w="303"/>
        <w:gridCol w:w="389"/>
        <w:gridCol w:w="1295"/>
        <w:gridCol w:w="82"/>
        <w:gridCol w:w="20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2472"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工作内容</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响</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识</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别</w:t>
            </w: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影响类型</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水环境保护目标</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饮用水水源保护区□；饮用水取水口□；涉水的自然保护区□；重要湿地□；</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重点保护与珍稀水生生物的栖息地□；重要水生生物的自然产卵场及索饵场、越冬场和洄游通道、天然渔场等渔业水体□；涉水的风景名胜区□；</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影响途径</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；间接排放□；其他□</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水温□；径流□；水域面积□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影响因子</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持久性污染物□；有毒有害污染物□；非持久性污染物☑；</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pH值□；热污染□；富营养化□；其他☑</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水温□；水位（水深）□；流速□；流量□；其他□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2472" w:type="dxa"/>
            <w:gridSpan w:val="2"/>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评价等级</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2472" w:type="dxa"/>
            <w:gridSpan w:val="2"/>
            <w:vMerge w:val="continue"/>
            <w:shd w:val="clear" w:color="auto" w:fill="auto"/>
            <w:vAlign w:val="center"/>
          </w:tcPr>
          <w:p>
            <w:pPr>
              <w:pStyle w:val="103"/>
              <w:rPr>
                <w:rFonts w:hint="default" w:ascii="Times New Roman" w:hAnsi="Times New Roman" w:eastAsia="宋体" w:cs="Times New Roman"/>
                <w:sz w:val="21"/>
                <w:szCs w:val="21"/>
              </w:rPr>
            </w:pP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一级□；二级□；三级A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；三级B □</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一级□；二级□；三级□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状</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w:t>
            </w: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区域污染源</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调查项目</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3882"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已建</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；在建□；拟建□；其他□</w:t>
            </w:r>
          </w:p>
        </w:tc>
        <w:tc>
          <w:tcPr>
            <w:tcW w:w="2594"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拟替代的污染源□</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排污许可证□；环评□；环保验收□；既有实测□；现场监测□；入河排放口数据□；其他□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受影响水体水环境质量</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调查时期</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丰水期□；平水期□；枯水期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；冰封期□</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；夏季□；秋季□；冬季</w:t>
            </w:r>
            <w:r>
              <w:rPr>
                <w:rFonts w:hint="default" w:ascii="Times New Roman" w:hAnsi="Times New Roman" w:eastAsia="宋体" w:cs="Times New Roman"/>
                <w:sz w:val="21"/>
                <w:szCs w:val="21"/>
              </w:rPr>
              <w:sym w:font="Wingdings 2" w:char="0052"/>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生态环境保护主管部门□；补充监测</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区域水资源开发利用状况</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未开发☑；开发量40%以下□；开发量40%以上□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水文情势调查</w:t>
            </w: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调查时期</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6476"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；平水期</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；枯水期□；冰封期</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；夏季□；秋季□；冬季□</w:t>
            </w:r>
          </w:p>
        </w:tc>
        <w:tc>
          <w:tcPr>
            <w:tcW w:w="5170" w:type="dxa"/>
            <w:gridSpan w:val="6"/>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水行政主管部门□；补充监测□；其他□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补充监测</w:t>
            </w: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监测时期</w:t>
            </w:r>
          </w:p>
        </w:tc>
        <w:tc>
          <w:tcPr>
            <w:tcW w:w="3453"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丰水期□；平水期□；枯水期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；冰封期□</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；夏季□；秋季□；冬季</w:t>
            </w:r>
            <w:r>
              <w:rPr>
                <w:rFonts w:hint="default" w:ascii="Times New Roman" w:hAnsi="Times New Roman" w:eastAsia="宋体" w:cs="Times New Roman"/>
                <w:sz w:val="21"/>
                <w:szCs w:val="21"/>
              </w:rPr>
              <w:sym w:font="Wingdings 2" w:char="0052"/>
            </w:r>
          </w:p>
        </w:tc>
        <w:tc>
          <w:tcPr>
            <w:tcW w:w="3453"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r>
              <w:rPr>
                <w:rFonts w:hint="default" w:ascii="Times New Roman" w:hAnsi="Times New Roman" w:eastAsia="宋体" w:cs="Times New Roman"/>
                <w:sz w:val="21"/>
                <w:szCs w:val="21"/>
                <w:lang w:val="en-US" w:eastAsia="zh-CN"/>
              </w:rPr>
              <w:t>COD、BOD5、SS、氨氮、总氮、总磷、动植物油</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监测断面或点位个数</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状</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价</w:t>
            </w: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评价范围</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河流：长度（</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）km；湖库、河口及近岸海域：面积（/）km</w:t>
            </w:r>
            <w:r>
              <w:rPr>
                <w:rFonts w:hint="default" w:ascii="Times New Roman" w:hAnsi="Times New Roman" w:eastAsia="宋体" w:cs="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评价因子</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评价标准</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河流、湖库、河口：Ⅰ类□；Ⅱ类</w:t>
            </w:r>
            <w:r>
              <w:rPr>
                <w:rFonts w:hint="eastAsia" w:eastAsia="宋体" w:cs="Times New Roman"/>
                <w:sz w:val="21"/>
                <w:szCs w:val="21"/>
                <w:lang w:eastAsia="zh-CN"/>
              </w:rPr>
              <w:t>☑</w:t>
            </w:r>
            <w:r>
              <w:rPr>
                <w:rFonts w:hint="default" w:ascii="Times New Roman" w:hAnsi="Times New Roman" w:eastAsia="宋体" w:cs="Times New Roman"/>
                <w:sz w:val="21"/>
                <w:szCs w:val="21"/>
              </w:rPr>
              <w:t>；Ⅲ类</w:t>
            </w:r>
            <w:r>
              <w:rPr>
                <w:rFonts w:hint="eastAsia" w:eastAsia="宋体" w:cs="Times New Roman"/>
                <w:sz w:val="21"/>
                <w:szCs w:val="21"/>
                <w:lang w:eastAsia="zh-CN"/>
              </w:rPr>
              <w:t>□</w:t>
            </w:r>
            <w:r>
              <w:rPr>
                <w:rFonts w:hint="default" w:ascii="Times New Roman" w:hAnsi="Times New Roman" w:eastAsia="宋体" w:cs="Times New Roman"/>
                <w:sz w:val="21"/>
                <w:szCs w:val="21"/>
              </w:rPr>
              <w:t>；Ⅳ类□；Ⅴ类□</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近岸海域：第一类□；第二类□；第三类□；第四类□</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规划年评价标准（/）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评价时期</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丰水期□；平水期□；枯水期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；冰封期□</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；夏季□；秋季□；冬季</w:t>
            </w:r>
            <w:r>
              <w:rPr>
                <w:rFonts w:hint="default" w:ascii="Times New Roman" w:hAnsi="Times New Roman"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评价结论</w:t>
            </w:r>
          </w:p>
        </w:tc>
        <w:tc>
          <w:tcPr>
            <w:tcW w:w="9495" w:type="dxa"/>
            <w:gridSpan w:val="10"/>
            <w:shd w:val="clear" w:color="auto" w:fill="auto"/>
            <w:vAlign w:val="center"/>
          </w:tcPr>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水环境功能区或水功能区、近岸海域环境功能区水质达标状况□：达标☑；不达标□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水环境控制单元或断面水质达标状况□：达标□；不达标□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水环境保护目标质量状况□：达标□；不达标□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对照断面、控制断面等代表性断面的水质状况□：达标□；不达标□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底泥污染评价□</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水资源与开发利用程度及其水文情势评价□</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水环境质量回顾评价□</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流域（区域）水资源（包括水能资源）与开发利用总体状况、生态流量管理要求与现状满足程度、建设项目占用水域空间的水流状况与河湖演变状况□</w:t>
            </w:r>
          </w:p>
        </w:tc>
        <w:tc>
          <w:tcPr>
            <w:tcW w:w="2151"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达标区☑</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响</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w:t>
            </w: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预测范围</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河流：长度（</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）km；湖库、河口及近岸海域：面积（/）km</w:t>
            </w:r>
            <w:r>
              <w:rPr>
                <w:rFonts w:hint="default" w:ascii="Times New Roman" w:hAnsi="Times New Roman" w:eastAsia="宋体" w:cs="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预测因子</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预测时期</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丰水期□；平水期□；枯水期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；冰封期□春季□；夏季□；秋季□；冬季</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设计水文条件□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预测情景</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建设期□；生产运行期</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；服务期满后□正常工况</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；非正常工况</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污染控制和减缓措施方案□</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区（流）域环境质量改善目标要求情景□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预测方法</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数值解□：解析解□；其他□导则推荐模式</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响</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价</w:t>
            </w: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水污染控制和水环境影响减缓措</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施有效性评价</w:t>
            </w:r>
          </w:p>
        </w:tc>
        <w:tc>
          <w:tcPr>
            <w:tcW w:w="11646" w:type="dxa"/>
            <w:gridSpan w:val="12"/>
            <w:shd w:val="clear" w:color="auto" w:fill="auto"/>
            <w:vAlign w:val="center"/>
          </w:tcPr>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区（流）域水环境质量改善目标□；替代削减源□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水环境影响评价</w:t>
            </w:r>
          </w:p>
        </w:tc>
        <w:tc>
          <w:tcPr>
            <w:tcW w:w="11646" w:type="dxa"/>
            <w:gridSpan w:val="12"/>
            <w:shd w:val="clear" w:color="auto" w:fill="auto"/>
            <w:vAlign w:val="center"/>
          </w:tcPr>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排放口混合区外满足水环境管理要求□</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水环境功能区或水功能区、近岸海域环境功能区水质达标□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满足水环境保护目标水域水环境质量要求□</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水环境控制单元或断面水质达标□</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满足重点水污染物排放总量控制指标要求，重点行业建设项目，主要污染物排放满足等量或减量替代要求□</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满足区（流）域水环境质量改善目标要求□</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水文要素影响型建设项目同时应包括水文情势变化评价、主要水文特征值影响评价、生态流量符合性评价□</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对于新设或调整入河（湖库、近岸海域）排放口的建设项目，应包括排放口设置的环境合理性评价□</w:t>
            </w:r>
          </w:p>
          <w:p>
            <w:pPr>
              <w:pStyle w:val="10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污染源排放量核算</w:t>
            </w: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3453"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w:t>
            </w:r>
          </w:p>
        </w:tc>
        <w:tc>
          <w:tcPr>
            <w:tcW w:w="3453" w:type="dxa"/>
            <w:gridSpan w:val="5"/>
            <w:shd w:val="clear" w:color="auto" w:fill="auto"/>
            <w:vAlign w:val="center"/>
          </w:tcPr>
          <w:p>
            <w:pPr>
              <w:pStyle w:val="103"/>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1.518</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3453" w:type="dxa"/>
            <w:gridSpan w:val="5"/>
            <w:shd w:val="clear" w:color="auto" w:fill="auto"/>
            <w:vAlign w:val="center"/>
          </w:tcPr>
          <w:p>
            <w:pPr>
              <w:pStyle w:val="10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eastAsia="宋体" w:cs="Times New Roman"/>
                <w:sz w:val="21"/>
                <w:szCs w:val="21"/>
                <w:lang w:val="en-US" w:eastAsia="zh-CN"/>
              </w:rPr>
              <w:t>305</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3453" w:type="dxa"/>
            <w:gridSpan w:val="5"/>
            <w:shd w:val="clear" w:color="auto" w:fill="auto"/>
            <w:vAlign w:val="center"/>
          </w:tcPr>
          <w:p>
            <w:pPr>
              <w:pStyle w:val="10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eastAsia="宋体" w:cs="Times New Roman"/>
                <w:sz w:val="21"/>
                <w:szCs w:val="21"/>
                <w:lang w:val="en-US" w:eastAsia="zh-CN"/>
              </w:rPr>
              <w:t>296</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总氮</w:t>
            </w:r>
          </w:p>
        </w:tc>
        <w:tc>
          <w:tcPr>
            <w:tcW w:w="3453" w:type="dxa"/>
            <w:gridSpan w:val="5"/>
            <w:shd w:val="clear" w:color="auto" w:fill="auto"/>
            <w:vAlign w:val="center"/>
          </w:tcPr>
          <w:p>
            <w:pPr>
              <w:pStyle w:val="10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eastAsia="宋体" w:cs="Times New Roman"/>
                <w:sz w:val="21"/>
                <w:szCs w:val="21"/>
                <w:lang w:val="en-US" w:eastAsia="zh-CN"/>
              </w:rPr>
              <w:t>315</w:t>
            </w:r>
          </w:p>
        </w:tc>
        <w:tc>
          <w:tcPr>
            <w:tcW w:w="3446" w:type="dxa"/>
            <w:gridSpan w:val="3"/>
            <w:shd w:val="clear" w:color="auto" w:fill="auto"/>
            <w:vAlign w:val="center"/>
          </w:tcPr>
          <w:p>
            <w:pPr>
              <w:pStyle w:val="103"/>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4747"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3453" w:type="dxa"/>
            <w:gridSpan w:val="5"/>
            <w:shd w:val="clear" w:color="auto" w:fill="auto"/>
            <w:vAlign w:val="center"/>
          </w:tcPr>
          <w:p>
            <w:pPr>
              <w:pStyle w:val="10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w:t>
            </w:r>
            <w:r>
              <w:rPr>
                <w:rFonts w:hint="eastAsia" w:eastAsia="宋体" w:cs="Times New Roman"/>
                <w:sz w:val="21"/>
                <w:szCs w:val="21"/>
                <w:lang w:val="en-US" w:eastAsia="zh-CN"/>
              </w:rPr>
              <w:t>86</w:t>
            </w:r>
          </w:p>
        </w:tc>
        <w:tc>
          <w:tcPr>
            <w:tcW w:w="3446"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替代源排放情况</w:t>
            </w:r>
          </w:p>
        </w:tc>
        <w:tc>
          <w:tcPr>
            <w:tcW w:w="3369"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污染源名称</w:t>
            </w:r>
          </w:p>
        </w:tc>
        <w:tc>
          <w:tcPr>
            <w:tcW w:w="2070" w:type="dxa"/>
            <w:gridSpan w:val="4"/>
            <w:shd w:val="clear" w:color="auto" w:fill="auto"/>
            <w:vAlign w:val="center"/>
          </w:tcPr>
          <w:p>
            <w:pPr>
              <w:pStyle w:val="103"/>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排污许可证编号</w:t>
            </w:r>
          </w:p>
        </w:tc>
        <w:tc>
          <w:tcPr>
            <w:tcW w:w="2069"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2069"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2069"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3369"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070"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069"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069"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069"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生态流量确定</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生态流量：一般水期（）m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/s；鱼类繁殖期（）m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/s；其他（）m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/s </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w:t>
            </w:r>
          </w:p>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w:t>
            </w: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污水处理设施□；水文减缓设施□；生态流量保障设施□；区域削减□；依托其他工程措施□；其他☑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restart"/>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监测计划</w:t>
            </w:r>
          </w:p>
        </w:tc>
        <w:tc>
          <w:tcPr>
            <w:tcW w:w="3971" w:type="dxa"/>
            <w:gridSpan w:val="3"/>
            <w:shd w:val="clear" w:color="auto" w:fill="auto"/>
            <w:vAlign w:val="center"/>
          </w:tcPr>
          <w:p>
            <w:pPr>
              <w:pStyle w:val="103"/>
              <w:rPr>
                <w:rFonts w:hint="default" w:ascii="Times New Roman" w:hAnsi="Times New Roman" w:eastAsia="宋体" w:cs="Times New Roman"/>
                <w:sz w:val="21"/>
                <w:szCs w:val="21"/>
              </w:rPr>
            </w:pPr>
          </w:p>
        </w:tc>
        <w:tc>
          <w:tcPr>
            <w:tcW w:w="3840"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环境质量</w:t>
            </w:r>
          </w:p>
        </w:tc>
        <w:tc>
          <w:tcPr>
            <w:tcW w:w="3835"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3971"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监测方式</w:t>
            </w:r>
          </w:p>
        </w:tc>
        <w:tc>
          <w:tcPr>
            <w:tcW w:w="3840"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手动</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；自动□；无监测□</w:t>
            </w:r>
          </w:p>
        </w:tc>
        <w:tc>
          <w:tcPr>
            <w:tcW w:w="3835"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手动</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；自动□；无监测□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3971"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3840"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35"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污水处理站出口</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vMerge w:val="continue"/>
            <w:shd w:val="clear" w:color="auto" w:fill="auto"/>
            <w:vAlign w:val="center"/>
          </w:tcPr>
          <w:p>
            <w:pPr>
              <w:pStyle w:val="103"/>
              <w:rPr>
                <w:rFonts w:hint="default" w:ascii="Times New Roman" w:hAnsi="Times New Roman" w:eastAsia="宋体" w:cs="Times New Roman"/>
                <w:sz w:val="21"/>
                <w:szCs w:val="21"/>
              </w:rPr>
            </w:pPr>
          </w:p>
        </w:tc>
        <w:tc>
          <w:tcPr>
            <w:tcW w:w="3971" w:type="dxa"/>
            <w:gridSpan w:val="3"/>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3840" w:type="dxa"/>
            <w:gridSpan w:val="5"/>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35" w:type="dxa"/>
            <w:gridSpan w:val="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color w:val="000000"/>
                <w:kern w:val="0"/>
                <w:szCs w:val="21"/>
                <w:lang w:val="en-US" w:eastAsia="zh-CN"/>
              </w:rPr>
              <w:t>流量、pH值、</w:t>
            </w:r>
            <w:r>
              <w:rPr>
                <w:rFonts w:hint="default" w:ascii="Times New Roman" w:hAnsi="Times New Roman" w:eastAsia="宋体" w:cs="Times New Roman"/>
                <w:color w:val="000000"/>
                <w:kern w:val="0"/>
                <w:szCs w:val="21"/>
              </w:rPr>
              <w:t>COD、BOD</w:t>
            </w:r>
            <w:r>
              <w:rPr>
                <w:rFonts w:hint="default" w:ascii="Times New Roman" w:hAnsi="Times New Roman" w:eastAsia="宋体" w:cs="Times New Roman"/>
                <w:color w:val="000000"/>
                <w:kern w:val="0"/>
                <w:szCs w:val="21"/>
                <w:vertAlign w:val="subscript"/>
              </w:rPr>
              <w:t>5</w:t>
            </w:r>
            <w:r>
              <w:rPr>
                <w:rFonts w:hint="default" w:ascii="Times New Roman" w:hAnsi="Times New Roman" w:eastAsia="宋体" w:cs="Times New Roman"/>
                <w:color w:val="000000"/>
                <w:kern w:val="0"/>
                <w:szCs w:val="21"/>
              </w:rPr>
              <w:t>、SS、NH</w:t>
            </w:r>
            <w:r>
              <w:rPr>
                <w:rFonts w:hint="default" w:ascii="Times New Roman" w:hAnsi="Times New Roman" w:eastAsia="宋体" w:cs="Times New Roman"/>
                <w:color w:val="000000"/>
                <w:kern w:val="0"/>
                <w:szCs w:val="21"/>
                <w:vertAlign w:val="subscript"/>
              </w:rPr>
              <w:t>3</w:t>
            </w:r>
            <w:r>
              <w:rPr>
                <w:rFonts w:hint="default" w:ascii="Times New Roman" w:hAnsi="Times New Roman" w:eastAsia="宋体" w:cs="Times New Roman"/>
                <w:color w:val="000000"/>
                <w:kern w:val="0"/>
                <w:szCs w:val="21"/>
              </w:rPr>
              <w:t>-N</w:t>
            </w:r>
            <w:r>
              <w:rPr>
                <w:rStyle w:val="40"/>
                <w:rFonts w:hint="default" w:ascii="Times New Roman" w:hAnsi="Times New Roman" w:eastAsia="宋体" w:cs="Times New Roman"/>
                <w:kern w:val="0"/>
                <w:szCs w:val="20"/>
                <w:lang w:eastAsia="zh-CN"/>
              </w:rPr>
              <w:t>、总磷、总氮</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810" w:type="dxa"/>
            <w:vMerge w:val="continue"/>
            <w:shd w:val="clear" w:color="auto" w:fill="auto"/>
            <w:vAlign w:val="center"/>
          </w:tcPr>
          <w:p>
            <w:pPr>
              <w:pStyle w:val="103"/>
              <w:rPr>
                <w:rFonts w:hint="default" w:ascii="Times New Roman" w:hAnsi="Times New Roman" w:eastAsia="宋体" w:cs="Times New Roman"/>
                <w:sz w:val="21"/>
                <w:szCs w:val="21"/>
              </w:rPr>
            </w:pPr>
          </w:p>
        </w:tc>
        <w:tc>
          <w:tcPr>
            <w:tcW w:w="1662" w:type="dxa"/>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污染物排放清单</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2472" w:type="dxa"/>
            <w:gridSpan w:val="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评价结论</w:t>
            </w:r>
          </w:p>
        </w:tc>
        <w:tc>
          <w:tcPr>
            <w:tcW w:w="11646" w:type="dxa"/>
            <w:gridSpan w:val="12"/>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可以接受☑；不可以接受□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jc w:val="center"/>
        </w:trPr>
        <w:tc>
          <w:tcPr>
            <w:tcW w:w="14118" w:type="dxa"/>
            <w:gridSpan w:val="14"/>
            <w:shd w:val="clear" w:color="auto" w:fill="auto"/>
            <w:vAlign w:val="center"/>
          </w:tcPr>
          <w:p>
            <w:pPr>
              <w:pStyle w:val="1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注：“□”为勾选项，可√；“（）”为内容填写项；“备注”为其他补充内容。</w:t>
            </w:r>
          </w:p>
        </w:tc>
      </w:tr>
    </w:tbl>
    <w:p>
      <w:pPr>
        <w:spacing w:line="360" w:lineRule="auto"/>
        <w:ind w:firstLine="480" w:firstLineChars="200"/>
        <w:rPr>
          <w:rFonts w:hint="default" w:ascii="Times New Roman" w:hAnsi="Times New Roman" w:eastAsia="宋体" w:cs="Times New Roman"/>
          <w:color w:val="000000"/>
          <w:kern w:val="0"/>
          <w:sz w:val="24"/>
        </w:rPr>
        <w:sectPr>
          <w:pgSz w:w="16838" w:h="11906" w:orient="landscape"/>
          <w:pgMar w:top="1134" w:right="1361" w:bottom="1134" w:left="1361" w:header="851" w:footer="850" w:gutter="0"/>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Style w:val="106"/>
          <w:rFonts w:hint="default" w:ascii="Times New Roman" w:hAnsi="Times New Roman" w:cs="Times New Roman" w:eastAsiaTheme="minorEastAsia"/>
          <w:sz w:val="24"/>
          <w:szCs w:val="24"/>
          <w:lang w:val="en-US" w:eastAsia="zh-CN"/>
        </w:rPr>
      </w:pPr>
      <w:r>
        <w:rPr>
          <w:rStyle w:val="106"/>
          <w:rFonts w:hint="eastAsia" w:ascii="Times New Roman" w:hAnsi="Times New Roman" w:cs="Times New Roman" w:eastAsiaTheme="minorEastAsia"/>
          <w:sz w:val="24"/>
          <w:szCs w:val="24"/>
          <w:lang w:val="en-US" w:eastAsia="zh-CN"/>
        </w:rPr>
        <w:t>4.2.4监测计划</w:t>
      </w:r>
    </w:p>
    <w:p>
      <w:pPr>
        <w:spacing w:line="360" w:lineRule="auto"/>
        <w:ind w:firstLine="480" w:firstLineChars="200"/>
        <w:jc w:val="left"/>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lang w:bidi="ar"/>
        </w:rPr>
        <w:t>根据《排污单位自行监测技术指南 总则》（HJ819-2017）</w:t>
      </w:r>
      <w:r>
        <w:rPr>
          <w:rFonts w:hint="default" w:ascii="Times New Roman" w:hAnsi="Times New Roman" w:eastAsia="宋体" w:cs="Times New Roman"/>
          <w:color w:val="000000"/>
          <w:sz w:val="24"/>
          <w:lang w:val="en-US" w:eastAsia="zh-CN" w:bidi="ar"/>
        </w:rPr>
        <w:t>和《排污许可证申请与核发技术规范 食品制造工业—方便食品、食品及饲料添加剂制造工业》（HJ1030.3—2019）</w:t>
      </w:r>
      <w:r>
        <w:rPr>
          <w:rFonts w:hint="default" w:ascii="Times New Roman" w:hAnsi="Times New Roman" w:eastAsia="宋体" w:cs="Times New Roman"/>
          <w:color w:val="000000"/>
          <w:sz w:val="24"/>
          <w:lang w:bidi="ar"/>
        </w:rPr>
        <w:t>，本单位自行监测计划见下表。</w:t>
      </w:r>
    </w:p>
    <w:p>
      <w:pPr>
        <w:tabs>
          <w:tab w:val="left" w:pos="420"/>
          <w:tab w:val="left" w:pos="630"/>
        </w:tabs>
        <w:ind w:left="902"/>
        <w:jc w:val="center"/>
        <w:rPr>
          <w:rFonts w:hint="default" w:ascii="Times New Roman" w:hAnsi="Times New Roman" w:eastAsia="宋体" w:cs="Times New Roman"/>
          <w:b/>
          <w:color w:val="000000"/>
          <w:sz w:val="22"/>
        </w:rPr>
      </w:pPr>
      <w:r>
        <w:rPr>
          <w:rFonts w:hint="default" w:ascii="Times New Roman" w:hAnsi="Times New Roman" w:eastAsia="宋体" w:cs="Times New Roman"/>
          <w:b/>
          <w:color w:val="000000"/>
          <w:sz w:val="22"/>
        </w:rPr>
        <w:t>表4</w:t>
      </w:r>
      <w:r>
        <w:rPr>
          <w:rFonts w:hint="eastAsia" w:ascii="Times New Roman" w:hAnsi="Times New Roman" w:eastAsia="宋体" w:cs="Times New Roman"/>
          <w:b/>
          <w:color w:val="000000"/>
          <w:sz w:val="22"/>
          <w:lang w:val="en-US" w:eastAsia="zh-CN"/>
        </w:rPr>
        <w:t>.3-6</w:t>
      </w:r>
      <w:r>
        <w:rPr>
          <w:rFonts w:hint="default" w:ascii="Times New Roman" w:hAnsi="Times New Roman" w:eastAsia="宋体" w:cs="Times New Roman"/>
          <w:b/>
          <w:color w:val="000000"/>
          <w:sz w:val="22"/>
        </w:rPr>
        <w:t xml:space="preserve">  项目废水污染源自行监测计划一览表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05"/>
        <w:gridCol w:w="3549"/>
        <w:gridCol w:w="1548"/>
        <w:gridCol w:w="16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5"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监测点位</w:t>
            </w:r>
          </w:p>
        </w:tc>
        <w:tc>
          <w:tcPr>
            <w:tcW w:w="1800"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监测因子</w:t>
            </w:r>
          </w:p>
        </w:tc>
        <w:tc>
          <w:tcPr>
            <w:tcW w:w="785"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监测频次</w:t>
            </w:r>
          </w:p>
        </w:tc>
        <w:tc>
          <w:tcPr>
            <w:tcW w:w="838"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实施机构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5"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DW001</w:t>
            </w:r>
          </w:p>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（厂区废水总排放口）</w:t>
            </w:r>
          </w:p>
        </w:tc>
        <w:tc>
          <w:tcPr>
            <w:tcW w:w="1800" w:type="pct"/>
            <w:vAlign w:val="center"/>
          </w:tcPr>
          <w:p>
            <w:pPr>
              <w:adjustRightInd w:val="0"/>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val="en-US" w:eastAsia="zh-CN"/>
              </w:rPr>
              <w:t>流量、pH值、</w:t>
            </w:r>
            <w:r>
              <w:rPr>
                <w:rFonts w:hint="default" w:ascii="Times New Roman" w:hAnsi="Times New Roman" w:eastAsia="宋体" w:cs="Times New Roman"/>
                <w:color w:val="000000"/>
                <w:kern w:val="0"/>
                <w:szCs w:val="21"/>
              </w:rPr>
              <w:t>COD、BOD</w:t>
            </w:r>
            <w:r>
              <w:rPr>
                <w:rFonts w:hint="default" w:ascii="Times New Roman" w:hAnsi="Times New Roman" w:eastAsia="宋体" w:cs="Times New Roman"/>
                <w:color w:val="000000"/>
                <w:kern w:val="0"/>
                <w:szCs w:val="21"/>
                <w:vertAlign w:val="subscript"/>
              </w:rPr>
              <w:t>5</w:t>
            </w:r>
            <w:r>
              <w:rPr>
                <w:rFonts w:hint="default" w:ascii="Times New Roman" w:hAnsi="Times New Roman" w:eastAsia="宋体" w:cs="Times New Roman"/>
                <w:color w:val="000000"/>
                <w:kern w:val="0"/>
                <w:szCs w:val="21"/>
              </w:rPr>
              <w:t>、SS、NH</w:t>
            </w:r>
            <w:r>
              <w:rPr>
                <w:rFonts w:hint="default" w:ascii="Times New Roman" w:hAnsi="Times New Roman" w:eastAsia="宋体" w:cs="Times New Roman"/>
                <w:color w:val="000000"/>
                <w:kern w:val="0"/>
                <w:szCs w:val="21"/>
                <w:vertAlign w:val="subscript"/>
              </w:rPr>
              <w:t>3</w:t>
            </w:r>
            <w:r>
              <w:rPr>
                <w:rFonts w:hint="default" w:ascii="Times New Roman" w:hAnsi="Times New Roman" w:eastAsia="宋体" w:cs="Times New Roman"/>
                <w:color w:val="000000"/>
                <w:kern w:val="0"/>
                <w:szCs w:val="21"/>
              </w:rPr>
              <w:t>-N</w:t>
            </w:r>
            <w:r>
              <w:rPr>
                <w:rStyle w:val="40"/>
                <w:rFonts w:hint="default" w:ascii="Times New Roman" w:hAnsi="Times New Roman" w:eastAsia="宋体" w:cs="Times New Roman"/>
                <w:kern w:val="0"/>
                <w:szCs w:val="20"/>
                <w:lang w:eastAsia="zh-CN"/>
              </w:rPr>
              <w:t>、总磷、总氮</w:t>
            </w:r>
          </w:p>
        </w:tc>
        <w:tc>
          <w:tcPr>
            <w:tcW w:w="785"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1次/半年</w:t>
            </w:r>
          </w:p>
        </w:tc>
        <w:tc>
          <w:tcPr>
            <w:tcW w:w="838" w:type="pct"/>
            <w:vAlign w:val="center"/>
          </w:tcPr>
          <w:p>
            <w:pPr>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有资质单位</w:t>
            </w:r>
          </w:p>
        </w:tc>
      </w:tr>
    </w:tbl>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Style w:val="105"/>
          <w:rFonts w:hint="eastAsia" w:ascii="Times New Roman" w:hAnsi="Times New Roman" w:cs="Times New Roman" w:eastAsiaTheme="minorEastAsia"/>
          <w:sz w:val="24"/>
          <w:szCs w:val="24"/>
          <w:lang w:val="en-US" w:eastAsia="zh-CN"/>
        </w:rPr>
        <w:sectPr>
          <w:pgSz w:w="11906" w:h="16838"/>
          <w:pgMar w:top="1361" w:right="1134" w:bottom="1361" w:left="1134" w:header="851" w:footer="850" w:gutter="0"/>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Style w:val="105"/>
          <w:rFonts w:hint="default" w:ascii="Times New Roman" w:hAnsi="Times New Roman" w:cs="Times New Roman" w:eastAsiaTheme="minorEastAsia"/>
          <w:sz w:val="24"/>
          <w:szCs w:val="24"/>
          <w:lang w:val="en-US" w:eastAsia="zh-CN"/>
        </w:rPr>
      </w:pPr>
      <w:r>
        <w:rPr>
          <w:rStyle w:val="105"/>
          <w:rFonts w:hint="eastAsia" w:ascii="Times New Roman" w:hAnsi="Times New Roman" w:cs="Times New Roman" w:eastAsiaTheme="minorEastAsia"/>
          <w:sz w:val="24"/>
          <w:szCs w:val="24"/>
          <w:lang w:val="en-US" w:eastAsia="zh-CN"/>
        </w:rPr>
        <w:t>5、</w:t>
      </w:r>
      <w:r>
        <w:rPr>
          <w:rStyle w:val="105"/>
          <w:rFonts w:hint="default" w:ascii="Times New Roman" w:hAnsi="Times New Roman" w:cs="Times New Roman" w:eastAsiaTheme="minorEastAsia"/>
          <w:sz w:val="24"/>
          <w:szCs w:val="24"/>
          <w:lang w:val="en-US" w:eastAsia="zh-CN"/>
        </w:rPr>
        <w:t>废水治理措施技术可行性分析</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项目厂区内实现雨污分流制，雨水由雨水斗及雨水立管收集后与室外雨水汇合排入雨水管网。根据工程分析可知，本项目外排废水主要为员工生活污水及生产废水，根据工程分析可知，本项目全厂废水排放量为</w:t>
      </w:r>
      <w:r>
        <w:rPr>
          <w:rFonts w:hint="eastAsia" w:cs="Times New Roman"/>
          <w:color w:val="000000"/>
          <w:sz w:val="24"/>
          <w:lang w:val="en-US" w:eastAsia="zh-CN"/>
        </w:rPr>
        <w:t>16308.3</w:t>
      </w:r>
      <w:r>
        <w:rPr>
          <w:rFonts w:hint="default" w:ascii="Times New Roman" w:hAnsi="Times New Roman" w:eastAsia="宋体" w:cs="Times New Roman"/>
          <w:color w:val="000000"/>
          <w:sz w:val="24"/>
        </w:rPr>
        <w:t>t/a（</w:t>
      </w:r>
      <w:r>
        <w:rPr>
          <w:rFonts w:hint="eastAsia" w:cs="Times New Roman"/>
          <w:color w:val="000000"/>
          <w:sz w:val="24"/>
          <w:lang w:val="en-US" w:eastAsia="zh-CN"/>
        </w:rPr>
        <w:t>45.961</w:t>
      </w:r>
      <w:r>
        <w:rPr>
          <w:rFonts w:hint="default" w:ascii="Times New Roman" w:hAnsi="Times New Roman" w:eastAsia="宋体" w:cs="Times New Roman"/>
          <w:color w:val="000000"/>
          <w:sz w:val="24"/>
        </w:rPr>
        <w:t>t/d），本项目设计的污水处理站的处理规模为</w:t>
      </w:r>
      <w:r>
        <w:rPr>
          <w:rFonts w:hint="eastAsia" w:cs="Times New Roman"/>
          <w:color w:val="000000"/>
          <w:sz w:val="24"/>
          <w:lang w:val="en-US" w:eastAsia="zh-CN"/>
        </w:rPr>
        <w:t>60</w:t>
      </w:r>
      <w:r>
        <w:rPr>
          <w:rFonts w:hint="default" w:ascii="Times New Roman" w:hAnsi="Times New Roman" w:eastAsia="宋体" w:cs="Times New Roman"/>
          <w:color w:val="000000"/>
          <w:sz w:val="24"/>
        </w:rPr>
        <w:t>t/d，能够满足本项目的污水处理的需求。</w:t>
      </w: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REF 排水路径 \h  \* MERGEFORMAT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废水经过自建的污水处理站处理后满足</w:t>
      </w:r>
      <w:r>
        <w:rPr>
          <w:rFonts w:hint="default" w:ascii="Times New Roman" w:hAnsi="Times New Roman" w:eastAsia="宋体" w:cs="Times New Roman"/>
          <w:bCs/>
          <w:color w:val="000000"/>
          <w:sz w:val="24"/>
          <w:szCs w:val="24"/>
        </w:rPr>
        <w:t>《污水综合排放标准》（GB8978-1996）</w:t>
      </w:r>
      <w:r>
        <w:rPr>
          <w:rFonts w:hint="eastAsia" w:cs="Times New Roman"/>
          <w:bCs/>
          <w:color w:val="000000"/>
          <w:sz w:val="24"/>
          <w:szCs w:val="24"/>
          <w:lang w:val="en-US" w:eastAsia="zh-CN"/>
        </w:rPr>
        <w:t>一级</w:t>
      </w:r>
      <w:r>
        <w:rPr>
          <w:rFonts w:hint="default" w:ascii="Times New Roman" w:hAnsi="Times New Roman" w:eastAsia="宋体" w:cs="Times New Roman"/>
          <w:bCs/>
          <w:color w:val="000000"/>
          <w:sz w:val="24"/>
          <w:szCs w:val="24"/>
        </w:rPr>
        <w:t>标准</w:t>
      </w:r>
      <w:r>
        <w:rPr>
          <w:rFonts w:hint="default" w:ascii="Times New Roman" w:hAnsi="Times New Roman" w:eastAsia="宋体" w:cs="Times New Roman"/>
          <w:color w:val="000000"/>
          <w:sz w:val="24"/>
          <w:szCs w:val="24"/>
        </w:rPr>
        <w:t>入</w:t>
      </w:r>
      <w:r>
        <w:rPr>
          <w:rFonts w:hint="eastAsia" w:ascii="Times New Roman" w:hAnsi="Times New Roman" w:eastAsia="宋体" w:cs="Times New Roman"/>
          <w:color w:val="000000"/>
          <w:sz w:val="24"/>
          <w:lang w:val="en-US" w:eastAsia="zh-CN"/>
        </w:rPr>
        <w:t>周边</w:t>
      </w:r>
      <w:r>
        <w:rPr>
          <w:rFonts w:hint="default" w:ascii="Times New Roman" w:hAnsi="Times New Roman" w:eastAsia="宋体" w:cs="Times New Roman"/>
          <w:color w:val="000000"/>
          <w:sz w:val="24"/>
        </w:rPr>
        <w:fldChar w:fldCharType="end"/>
      </w:r>
      <w:r>
        <w:rPr>
          <w:rFonts w:hint="eastAsia" w:cs="Times New Roman"/>
          <w:color w:val="000000"/>
          <w:sz w:val="24"/>
          <w:lang w:val="en-US" w:eastAsia="zh-CN"/>
        </w:rPr>
        <w:t>池塘或地表水系，最终进入黄蜡河</w:t>
      </w:r>
      <w:r>
        <w:rPr>
          <w:rFonts w:hint="default" w:ascii="Times New Roman" w:hAnsi="Times New Roman" w:eastAsia="宋体" w:cs="Times New Roman"/>
          <w:color w:val="000000"/>
          <w:sz w:val="24"/>
        </w:rPr>
        <w:t>。</w:t>
      </w:r>
    </w:p>
    <w:p>
      <w:pPr>
        <w:widowControl/>
        <w:spacing w:line="360" w:lineRule="auto"/>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①污水处理站的工艺流程简述：</w:t>
      </w:r>
    </w:p>
    <w:p>
      <w:pPr>
        <w:pStyle w:val="42"/>
        <w:jc w:val="center"/>
        <w:rPr>
          <w:rFonts w:hint="eastAsia" w:ascii="Times New Roman" w:hAnsi="Times New Roman" w:eastAsia="宋体" w:cs="Times New Roman"/>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3762375</wp:posOffset>
                </wp:positionH>
                <wp:positionV relativeFrom="paragraph">
                  <wp:posOffset>3834130</wp:posOffset>
                </wp:positionV>
                <wp:extent cx="952500" cy="390525"/>
                <wp:effectExtent l="4445" t="4445" r="14605" b="5080"/>
                <wp:wrapNone/>
                <wp:docPr id="21" name="矩形 21"/>
                <wp:cNvGraphicFramePr/>
                <a:graphic xmlns:a="http://schemas.openxmlformats.org/drawingml/2006/main">
                  <a:graphicData uri="http://schemas.microsoft.com/office/word/2010/wordprocessingShape">
                    <wps:wsp>
                      <wps:cNvSpPr/>
                      <wps:spPr>
                        <a:xfrm>
                          <a:off x="0" y="0"/>
                          <a:ext cx="952500" cy="390525"/>
                        </a:xfrm>
                        <a:prstGeom prst="rect">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排入黄蜡河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25pt;margin-top:301.9pt;height:30.75pt;width:75pt;z-index:251668480;v-text-anchor:middle;mso-width-relative:page;mso-height-relative:page;" fillcolor="#FFFFFF [3212]" filled="t" stroked="t" coordsize="21600,21600" o:gfxdata="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3aUGXaAAAACwEAAA8AAAAAAAAAAQAgAAAAIgAAAGRycy9kb3ducmV2LnhtbFBL&#10;AQIUABQAAAAIAIdO4kCdRDh9ZgIAAOgEAAAOAAAAAAAAAAEAIAAAACkBAABkcnMvZTJvRG9jLnht&#10;bFBLBQYAAAAABgAGAFkBAAABBgAAAAA=&#10;">
                <v:fill on="t" focussize="0,0"/>
                <v:stroke weight="0.25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排入黄蜡河</w:t>
                      </w:r>
                    </w:p>
                  </w:txbxContent>
                </v:textbox>
              </v:rect>
            </w:pict>
          </mc:Fallback>
        </mc:AlternateContent>
      </w: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3457575" cy="4246245"/>
            <wp:effectExtent l="0" t="0" r="9525" b="190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23"/>
                    <a:stretch>
                      <a:fillRect/>
                    </a:stretch>
                  </pic:blipFill>
                  <pic:spPr>
                    <a:xfrm>
                      <a:off x="0" y="0"/>
                      <a:ext cx="3457575" cy="4246245"/>
                    </a:xfrm>
                    <a:prstGeom prst="rect">
                      <a:avLst/>
                    </a:prstGeom>
                  </pic:spPr>
                </pic:pic>
              </a:graphicData>
            </a:graphic>
          </wp:inline>
        </w:drawing>
      </w:r>
    </w:p>
    <w:p>
      <w:pPr>
        <w:jc w:val="center"/>
        <w:rPr>
          <w:rFonts w:hint="default" w:ascii="Times New Roman" w:hAnsi="Times New Roman" w:eastAsia="宋体" w:cs="Times New Roman"/>
          <w:color w:val="000000"/>
          <w:sz w:val="24"/>
        </w:rPr>
      </w:pPr>
      <w:r>
        <w:rPr>
          <w:rFonts w:hint="default" w:ascii="Times New Roman" w:hAnsi="Times New Roman" w:eastAsia="宋体" w:cs="Times New Roman"/>
          <w:b/>
          <w:color w:val="000000"/>
          <w:sz w:val="24"/>
        </w:rPr>
        <w:t>图</w:t>
      </w:r>
      <w:r>
        <w:rPr>
          <w:rFonts w:hint="eastAsia" w:ascii="Times New Roman" w:hAnsi="Times New Roman" w:eastAsia="宋体" w:cs="Times New Roman"/>
          <w:b/>
          <w:bCs w:val="0"/>
          <w:color w:val="000000"/>
          <w:sz w:val="24"/>
          <w:lang w:val="en-US" w:eastAsia="zh-CN"/>
        </w:rPr>
        <w:t>5-1</w:t>
      </w:r>
      <w:r>
        <w:rPr>
          <w:rFonts w:hint="default" w:ascii="Times New Roman" w:hAnsi="Times New Roman" w:eastAsia="宋体" w:cs="Times New Roman"/>
          <w:b/>
          <w:bCs w:val="0"/>
          <w:color w:val="000000"/>
          <w:sz w:val="24"/>
        </w:rPr>
        <w:t xml:space="preserve">  </w:t>
      </w:r>
      <w:r>
        <w:rPr>
          <w:rFonts w:hint="default" w:ascii="Times New Roman" w:hAnsi="Times New Roman" w:eastAsia="宋体" w:cs="Times New Roman"/>
          <w:b/>
          <w:bCs w:val="0"/>
          <w:color w:val="000000"/>
          <w:sz w:val="24"/>
          <w:lang w:val="en-US" w:eastAsia="zh-CN"/>
        </w:rPr>
        <w:t>本</w:t>
      </w:r>
      <w:r>
        <w:rPr>
          <w:rFonts w:hint="default" w:ascii="Times New Roman" w:hAnsi="Times New Roman" w:eastAsia="宋体" w:cs="Times New Roman"/>
          <w:b/>
          <w:bCs w:val="0"/>
          <w:color w:val="000000"/>
          <w:sz w:val="24"/>
        </w:rPr>
        <w:t>项目</w:t>
      </w:r>
      <w:r>
        <w:rPr>
          <w:rFonts w:hint="default" w:ascii="Times New Roman" w:hAnsi="Times New Roman" w:eastAsia="宋体" w:cs="Times New Roman"/>
          <w:b/>
          <w:bCs w:val="0"/>
          <w:color w:val="000000"/>
          <w:sz w:val="24"/>
          <w:lang w:val="en-US" w:eastAsia="zh-CN"/>
        </w:rPr>
        <w:t>自建的</w:t>
      </w:r>
      <w:r>
        <w:rPr>
          <w:rFonts w:hint="default" w:ascii="Times New Roman" w:hAnsi="Times New Roman" w:eastAsia="宋体" w:cs="Times New Roman"/>
          <w:b/>
          <w:bCs w:val="0"/>
          <w:color w:val="000000"/>
          <w:sz w:val="24"/>
        </w:rPr>
        <w:t>污水处理站</w:t>
      </w:r>
      <w:r>
        <w:rPr>
          <w:rFonts w:hint="default" w:ascii="Times New Roman" w:hAnsi="Times New Roman" w:eastAsia="宋体" w:cs="Times New Roman"/>
          <w:b/>
          <w:color w:val="000000"/>
          <w:sz w:val="24"/>
        </w:rPr>
        <w:t>工艺流程图</w:t>
      </w:r>
    </w:p>
    <w:p>
      <w:pPr>
        <w:widowControl/>
        <w:spacing w:line="360" w:lineRule="auto"/>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工艺流程简述：</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格栅</w:t>
      </w:r>
    </w:p>
    <w:p>
      <w:pPr>
        <w:widowControl/>
        <w:spacing w:line="360" w:lineRule="auto"/>
        <w:ind w:firstLine="480" w:firstLineChars="20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格栅</w:t>
      </w:r>
      <w:r>
        <w:rPr>
          <w:rFonts w:hint="default" w:ascii="Times New Roman" w:hAnsi="Times New Roman" w:eastAsia="宋体" w:cs="Times New Roman"/>
          <w:color w:val="000000" w:themeColor="text1"/>
          <w:sz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金属栅条、塑料齿钩或金属筛网、框架及相关组成。安装在污水渠道前段，用来留污水中较粗大漂浮物、纤维和固体颗粒物质，防止堵塞和缠绕水泵机组、曝气器、管道阀门、处理构筑物配水设施、近出水口，减少后续处理产生的浮渣，保证污水处理设施的正常运行</w:t>
      </w:r>
      <w:r>
        <w:rPr>
          <w:rFonts w:hint="default" w:ascii="Times New Roman" w:hAnsi="Times New Roman" w:eastAsia="宋体" w:cs="Times New Roman"/>
          <w:color w:val="000000" w:themeColor="text1"/>
          <w:sz w:val="24"/>
          <w:lang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B、调节池</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废水的日变化量较大，各时期的废水排放量及排放的水质均不一致，造成废水水质、水量波动很大，因此只有足够的调节池容量才能使进入生化处理的水质、水量稳定，在工艺中设置一座调节池。废水进入调节池，在池中进行水质、水量调节及均衡，保证进入生化系统水质、水量的稳定。调节池设有旁通，以备检修及事故等状态下使用。调节池内设有一台潜污泵，用以提升废水进入后级处理系统。</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C</w:t>
      </w:r>
      <w:r>
        <w:rPr>
          <w:rFonts w:hint="default" w:ascii="Times New Roman" w:hAnsi="Times New Roman" w:eastAsia="宋体" w:cs="Times New Roman"/>
          <w:color w:val="000000" w:themeColor="text1"/>
          <w:sz w:val="24"/>
          <w14:textFill>
            <w14:solidFill>
              <w14:schemeClr w14:val="tx1"/>
            </w14:solidFill>
          </w14:textFill>
        </w:rPr>
        <w:t>、絮凝沉淀池：</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在絮凝剂的作用下，使废水中的胶体和细微悬浮物凝聚成絮凝体，从而加快粒子的聚沉，达到固-液分离，然后经重力沉降，予以分离去除。絮凝沉淀池可高效去除水中的悬浮物，减轻了后续沉淀池的负荷</w:t>
      </w:r>
      <w:r>
        <w:rPr>
          <w:rFonts w:hint="eastAsia" w:ascii="Times New Roman" w:hAnsi="Times New Roman" w:eastAsia="宋体" w:cs="Times New Roman"/>
          <w:color w:val="000000" w:themeColor="text1"/>
          <w:sz w:val="24"/>
          <w:lang w:eastAsia="zh-CN"/>
          <w14:textFill>
            <w14:solidFill>
              <w14:schemeClr w14:val="tx1"/>
            </w14:solidFill>
          </w14:textFill>
        </w:rPr>
        <w:t>，同时对</w:t>
      </w:r>
      <w:r>
        <w:rPr>
          <w:rFonts w:hint="eastAsia" w:ascii="Times New Roman" w:hAnsi="Times New Roman" w:eastAsia="宋体" w:cs="Times New Roman"/>
          <w:color w:val="000000" w:themeColor="text1"/>
          <w:sz w:val="24"/>
          <w:lang w:val="en-US" w:eastAsia="zh-CN"/>
          <w14:textFill>
            <w14:solidFill>
              <w14:schemeClr w14:val="tx1"/>
            </w14:solidFill>
          </w14:textFill>
        </w:rPr>
        <w:t>COD也起到一定的降解作用</w:t>
      </w:r>
      <w:r>
        <w:rPr>
          <w:rFonts w:hint="eastAsia" w:cs="Times New Roman"/>
          <w:color w:val="000000" w:themeColor="text1"/>
          <w:sz w:val="24"/>
          <w:lang w:val="en-US" w:eastAsia="zh-CN"/>
          <w14:textFill>
            <w14:solidFill>
              <w14:schemeClr w14:val="tx1"/>
            </w14:solidFill>
          </w14:textFill>
        </w:rPr>
        <w:t>；絮凝沉淀对本类（米粉加工）废水的COD</w:t>
      </w:r>
      <w:r>
        <w:rPr>
          <w:rFonts w:hint="eastAsia" w:ascii="Times New Roman" w:hAnsi="Times New Roman" w:eastAsia="宋体" w:cs="Times New Roman"/>
          <w:color w:val="000000" w:themeColor="text1"/>
          <w:sz w:val="24"/>
          <w:lang w:val="en-US" w:eastAsia="zh-CN"/>
          <w14:textFill>
            <w14:solidFill>
              <w14:schemeClr w14:val="tx1"/>
            </w14:solidFill>
          </w14:textFill>
        </w:rPr>
        <w:t>去除效率一般在</w:t>
      </w:r>
      <w:r>
        <w:rPr>
          <w:rFonts w:hint="eastAsia"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30%</w:t>
      </w:r>
      <w:r>
        <w:rPr>
          <w:rFonts w:hint="eastAsia" w:cs="Times New Roman"/>
          <w:color w:val="000000" w:themeColor="text1"/>
          <w:sz w:val="24"/>
          <w:lang w:val="en-US" w:eastAsia="zh-CN"/>
          <w14:textFill>
            <w14:solidFill>
              <w14:schemeClr w14:val="tx1"/>
            </w14:solidFill>
          </w14:textFill>
        </w:rPr>
        <w:t>之间</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、厌氧池</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废水进入厌氧池，由池底向上流动，经过细菌形成的污泥层，污泥层对有机物进行吸附、网捕、生物学絮凝、生物降解作用，使废水在降解COD的同时也能部分澄清</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本项目废水属于米粉加工废水，废水中的COD比较容易降解，</w:t>
      </w:r>
      <w:r>
        <w:rPr>
          <w:rFonts w:hint="eastAsia" w:cs="Times New Roman"/>
          <w:color w:val="000000" w:themeColor="text1"/>
          <w:sz w:val="24"/>
          <w:lang w:eastAsia="zh-CN"/>
          <w14:textFill>
            <w14:solidFill>
              <w14:schemeClr w14:val="tx1"/>
            </w14:solidFill>
          </w14:textFill>
        </w:rPr>
        <w:t>厌氧池对</w:t>
      </w:r>
      <w:r>
        <w:rPr>
          <w:rFonts w:hint="eastAsia" w:cs="Times New Roman"/>
          <w:color w:val="000000" w:themeColor="text1"/>
          <w:sz w:val="24"/>
          <w:lang w:val="en-US" w:eastAsia="zh-CN"/>
          <w14:textFill>
            <w14:solidFill>
              <w14:schemeClr w14:val="tx1"/>
            </w14:solidFill>
          </w14:textFill>
        </w:rPr>
        <w:t>该类废水中COD的去除率一般可高达80%。</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E</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好氧</w:t>
      </w:r>
      <w:r>
        <w:rPr>
          <w:rFonts w:hint="default" w:ascii="Times New Roman" w:hAnsi="Times New Roman" w:eastAsia="宋体" w:cs="Times New Roman"/>
          <w:color w:val="000000" w:themeColor="text1"/>
          <w:sz w:val="24"/>
          <w14:textFill>
            <w14:solidFill>
              <w14:schemeClr w14:val="tx1"/>
            </w14:solidFill>
          </w14:textFill>
        </w:rPr>
        <w:t>池</w:t>
      </w:r>
    </w:p>
    <w:p>
      <w:pPr>
        <w:widowControl/>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生物接触氧化池内设置填料，填料淹没在污水中，填料上长满生物膜，污水与生物膜接触过程中，水中的有机物被微生物吸附、氧化分解和转化为新的生物膜。从填料上脱落的生物膜，随水流到二沉池后被去除，污水得到净化。接触氧化池的构造主要有池体、填料、和进水布气装置等组成。池体用于设置填料、布水布气装置和支撑填料的支架。生物接触氧化法有以下优点：由于填料的比表面积大，池内的充氧条件良好；具有较高的容积负荷；生物接触氧化法不需要污泥回流，不存在污泥膨胀的问题，运行管理简便；由于生物固体量多，水流又属完全混合型，因此生物接触氧化池对水质水量的骤变有较强的适应能力；生物接触氧化池有机容积负荷较高时，其F/M保持在较低水平，污泥产率较低</w:t>
      </w:r>
      <w:r>
        <w:rPr>
          <w:rFonts w:hint="eastAsia" w:cs="Times New Roman"/>
          <w:color w:val="000000" w:themeColor="text1"/>
          <w:sz w:val="24"/>
          <w:lang w:eastAsia="zh-CN"/>
          <w14:textFill>
            <w14:solidFill>
              <w14:schemeClr w14:val="tx1"/>
            </w14:solidFill>
          </w14:textFill>
        </w:rPr>
        <w:t>，好氧池对</w:t>
      </w:r>
      <w:r>
        <w:rPr>
          <w:rFonts w:hint="eastAsia" w:cs="Times New Roman"/>
          <w:color w:val="000000" w:themeColor="text1"/>
          <w:sz w:val="24"/>
          <w:lang w:val="en-US" w:eastAsia="zh-CN"/>
          <w14:textFill>
            <w14:solidFill>
              <w14:schemeClr w14:val="tx1"/>
            </w14:solidFill>
          </w14:textFill>
        </w:rPr>
        <w:t>本类（米粉加工）废水COD的去除率一般在70%左右。</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本设计采用国际上先进的立体弹性填料，不仅比表面积大，且水流特性优越。</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F</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二</w:t>
      </w:r>
      <w:r>
        <w:rPr>
          <w:rFonts w:hint="default" w:ascii="Times New Roman" w:hAnsi="Times New Roman" w:eastAsia="宋体" w:cs="Times New Roman"/>
          <w:color w:val="000000" w:themeColor="text1"/>
          <w:sz w:val="24"/>
          <w:lang w:val="en-US" w:eastAsia="zh-CN"/>
          <w14:textFill>
            <w14:solidFill>
              <w14:schemeClr w14:val="tx1"/>
            </w14:solidFill>
          </w14:textFill>
        </w:rPr>
        <w:t>沉淀池</w:t>
      </w:r>
    </w:p>
    <w:p>
      <w:pPr>
        <w:widowControl/>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整个系统的处理效率与二沉池的设计和运行密切相关，在功能上要同时满足澄清（固液分离）和污泥浓缩（提高回流污泥的含固率）两方面的要求，它的工作效果将直接影响出水水质和回流污泥浓度</w:t>
      </w:r>
      <w:r>
        <w:rPr>
          <w:rFonts w:hint="eastAsia" w:cs="Times New Roman"/>
          <w:color w:val="000000" w:themeColor="text1"/>
          <w:sz w:val="24"/>
          <w:lang w:val="en-US"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清水池</w:t>
      </w:r>
    </w:p>
    <w:p>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清水池即消毒池，设置的目的是该池按消毒池设计，内设消毒装置，导流板。沉淀池池出水流入消毒池进行消毒。</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本项目生产废水处理设施主要采用"</w:t>
      </w:r>
      <w:r>
        <w:rPr>
          <w:rFonts w:hint="eastAsia" w:ascii="Times New Roman" w:hAnsi="Times New Roman" w:eastAsia="宋体" w:cs="Times New Roman"/>
          <w:color w:val="000000" w:themeColor="text1"/>
          <w:sz w:val="24"/>
          <w:lang w:val="en-US" w:eastAsia="zh-CN"/>
          <w14:textFill>
            <w14:solidFill>
              <w14:schemeClr w14:val="tx1"/>
            </w14:solidFill>
          </w14:textFill>
        </w:rPr>
        <w:t>格栅+调节+</w:t>
      </w:r>
      <w:r>
        <w:rPr>
          <w:rFonts w:hint="eastAsia" w:cs="Times New Roman"/>
          <w:color w:val="000000" w:themeColor="text1"/>
          <w:sz w:val="24"/>
          <w:lang w:val="en-US" w:eastAsia="zh-CN"/>
          <w14:textFill>
            <w14:solidFill>
              <w14:schemeClr w14:val="tx1"/>
            </w14:solidFill>
          </w14:textFill>
        </w:rPr>
        <w:t>絮凝沉淀+</w:t>
      </w:r>
      <w:r>
        <w:rPr>
          <w:rFonts w:hint="eastAsia" w:ascii="Times New Roman" w:hAnsi="Times New Roman" w:eastAsia="宋体" w:cs="Times New Roman"/>
          <w:color w:val="000000" w:themeColor="text1"/>
          <w:sz w:val="24"/>
          <w:lang w:val="en-US" w:eastAsia="zh-CN"/>
          <w14:textFill>
            <w14:solidFill>
              <w14:schemeClr w14:val="tx1"/>
            </w14:solidFill>
          </w14:textFill>
        </w:rPr>
        <w:t>厌氧+好氧+二次沉淀+清水池（消毒）+砂过滤</w:t>
      </w:r>
      <w:r>
        <w:rPr>
          <w:rFonts w:hint="default" w:ascii="Times New Roman" w:hAnsi="Times New Roman" w:eastAsia="宋体" w:cs="Times New Roman"/>
          <w:color w:val="000000" w:themeColor="text1"/>
          <w:sz w:val="24"/>
          <w14:textFill>
            <w14:solidFill>
              <w14:schemeClr w14:val="tx1"/>
            </w14:solidFill>
          </w14:textFill>
        </w:rPr>
        <w:t>"处理工艺，参照《排污许可证申请与核发技术规范 食品制造工业—方便食品、食品及饲料添加剂制造工业》（HJ1030.3—2019）A1方便食品制造工业废水污染防治可行技术参考表，</w:t>
      </w:r>
      <w:r>
        <w:rPr>
          <w:rFonts w:hint="eastAsia"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采用的</w:t>
      </w:r>
      <w:r>
        <w:rPr>
          <w:rFonts w:hint="default" w:ascii="Times New Roman" w:hAnsi="Times New Roman" w:eastAsia="宋体" w:cs="Times New Roman"/>
          <w:color w:val="000000" w:themeColor="text1"/>
          <w:sz w:val="24"/>
          <w14:textFill>
            <w14:solidFill>
              <w14:schemeClr w14:val="tx1"/>
            </w14:solidFill>
          </w14:textFill>
        </w:rPr>
        <w:t>废水处理工艺属于可行技术。</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REF 排水路径 \h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废水经过自建的污水处理站处理后满足</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cs="Times New Roman"/>
          <w:color w:val="000000" w:themeColor="text1"/>
          <w:sz w:val="24"/>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sz w:val="24"/>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8978</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1996）表4一级标准，达标后排入黄蜡河</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sz w:val="24"/>
        </w:rPr>
        <w:sectPr>
          <w:pgSz w:w="11906" w:h="16838"/>
          <w:pgMar w:top="1361" w:right="1134" w:bottom="1361" w:left="1134" w:header="851" w:footer="850" w:gutter="0"/>
          <w:pgNumType w:fmt="numberInDash"/>
          <w:cols w:space="720" w:num="1"/>
          <w:docGrid w:linePitch="312" w:charSpace="0"/>
        </w:sectPr>
      </w:pPr>
      <w:r>
        <w:rPr>
          <w:rFonts w:hint="default" w:ascii="Times New Roman" w:hAnsi="Times New Roman"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Style w:val="105"/>
          <w:rFonts w:hint="default" w:ascii="Times New Roman" w:hAnsi="Times New Roman" w:cs="Times New Roman" w:eastAsiaTheme="minorEastAsia"/>
          <w:sz w:val="24"/>
          <w:szCs w:val="24"/>
          <w:lang w:val="en-US" w:eastAsia="zh-CN"/>
        </w:rPr>
      </w:pPr>
      <w:r>
        <w:rPr>
          <w:rStyle w:val="105"/>
          <w:rFonts w:hint="eastAsia" w:ascii="Times New Roman" w:hAnsi="Times New Roman" w:cs="Times New Roman" w:eastAsiaTheme="minorEastAsia"/>
          <w:sz w:val="24"/>
          <w:szCs w:val="24"/>
          <w:lang w:val="en-US" w:eastAsia="zh-CN"/>
        </w:rPr>
        <w:t>6、结论</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本项目产生的废水经过厂内污水处理站处理</w:t>
      </w:r>
      <w:r>
        <w:rPr>
          <w:rFonts w:hint="eastAsia" w:cs="Times New Roman"/>
          <w:color w:val="000000"/>
          <w:sz w:val="24"/>
          <w:szCs w:val="24"/>
          <w:lang w:val="en-US" w:eastAsia="zh-CN"/>
        </w:rPr>
        <w:t>后满足</w:t>
      </w:r>
      <w:r>
        <w:rPr>
          <w:rFonts w:hint="default" w:ascii="Times New Roman" w:hAnsi="Times New Roman" w:eastAsia="宋体" w:cs="Times New Roman"/>
          <w:bCs/>
          <w:color w:val="000000"/>
          <w:sz w:val="24"/>
          <w:szCs w:val="24"/>
        </w:rPr>
        <w:t>《污水综合排放标准》（GB8978-1996）</w:t>
      </w:r>
      <w:r>
        <w:rPr>
          <w:rFonts w:hint="eastAsia" w:cs="Times New Roman"/>
          <w:bCs/>
          <w:color w:val="000000"/>
          <w:sz w:val="24"/>
          <w:szCs w:val="24"/>
          <w:lang w:val="en-US" w:eastAsia="zh-CN"/>
        </w:rPr>
        <w:t>一级</w:t>
      </w:r>
      <w:r>
        <w:rPr>
          <w:rFonts w:hint="default" w:ascii="Times New Roman" w:hAnsi="Times New Roman" w:eastAsia="宋体" w:cs="Times New Roman"/>
          <w:bCs/>
          <w:color w:val="000000"/>
          <w:sz w:val="24"/>
          <w:szCs w:val="24"/>
        </w:rPr>
        <w:t>标准</w:t>
      </w:r>
      <w:r>
        <w:rPr>
          <w:rFonts w:hint="default" w:ascii="Times New Roman" w:hAnsi="Times New Roman" w:eastAsia="宋体" w:cs="Times New Roman"/>
          <w:color w:val="000000"/>
          <w:sz w:val="24"/>
          <w:szCs w:val="24"/>
        </w:rPr>
        <w:t>，排入</w:t>
      </w:r>
      <w:r>
        <w:rPr>
          <w:rFonts w:hint="eastAsia" w:cs="Times New Roman"/>
          <w:color w:val="000000"/>
          <w:sz w:val="24"/>
          <w:szCs w:val="24"/>
          <w:lang w:val="en-US" w:eastAsia="zh-CN"/>
        </w:rPr>
        <w:t>周边黄蜡河支流最后进入黄蜡河，经过预测项目正常情况下排放废水对周边的地表水影响很小，非正常排放会造成地表水COD超标，影响较大，因此项目应避免非正常排放</w:t>
      </w:r>
      <w:r>
        <w:rPr>
          <w:rFonts w:hint="default" w:ascii="Times New Roman" w:hAnsi="Times New Roman" w:eastAsia="宋体" w:cs="Times New Roman"/>
          <w:color w:val="000000"/>
          <w:sz w:val="24"/>
          <w:szCs w:val="24"/>
        </w:rPr>
        <w:t>。</w:t>
      </w:r>
    </w:p>
    <w:p>
      <w:pPr>
        <w:pStyle w:val="9"/>
        <w:ind w:left="0" w:leftChars="0" w:firstLine="0" w:firstLineChars="0"/>
        <w:rPr>
          <w:rFonts w:hint="default"/>
          <w:lang w:val="en-US" w:eastAsia="zh-CN"/>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imesNewRomanPS-BoldMT">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Pr>
    </w:pPr>
    <w:r>
      <w:fldChar w:fldCharType="begin"/>
    </w:r>
    <w:r>
      <w:rPr>
        <w:rStyle w:val="37"/>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Pr>
    </w:pPr>
    <w:r>
      <w:fldChar w:fldCharType="begin"/>
    </w:r>
    <w:r>
      <w:rPr>
        <w:rStyle w:val="37"/>
      </w:rPr>
      <w:instrText xml:space="preserve">PAGE  </w:instrText>
    </w:r>
    <w:r>
      <w:fldChar w:fldCharType="separate"/>
    </w:r>
    <w:r>
      <w:rPr>
        <w:rStyle w:val="37"/>
      </w:rPr>
      <w:t>II</w:t>
    </w:r>
    <w: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w:t>
    </w:r>
    <w:r>
      <w:rPr>
        <w:sz w:val="22"/>
        <w:szCs w:val="22"/>
      </w:rPr>
      <w:t xml:space="preserve"> 16 -</w:t>
    </w:r>
    <w:r>
      <w:rP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ascii="宋体" w:hAnsi="宋体" w:eastAsia="宋体"/>
        <w:lang w:eastAsia="zh-CN"/>
      </w:rPr>
    </w:pPr>
    <w:r>
      <w:rPr>
        <w:rFonts w:hint="eastAsia" w:ascii="宋体" w:hAnsi="宋体" w:eastAsia="宋体"/>
        <w:lang w:eastAsia="zh-CN"/>
      </w:rPr>
      <w:t>广西腾汇国营年产10000吨米粉厂入河排污口设置论证报告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15176"/>
    <w:multiLevelType w:val="singleLevel"/>
    <w:tmpl w:val="B4C15176"/>
    <w:lvl w:ilvl="0" w:tentative="0">
      <w:start w:val="7"/>
      <w:numFmt w:val="decimal"/>
      <w:suff w:val="nothing"/>
      <w:lvlText w:val="%1、"/>
      <w:lvlJc w:val="left"/>
    </w:lvl>
  </w:abstractNum>
  <w:abstractNum w:abstractNumId="1">
    <w:nsid w:val="BFE3EC38"/>
    <w:multiLevelType w:val="singleLevel"/>
    <w:tmpl w:val="BFE3EC38"/>
    <w:lvl w:ilvl="0" w:tentative="0">
      <w:start w:val="4"/>
      <w:numFmt w:val="decimal"/>
      <w:suff w:val="nothing"/>
      <w:lvlText w:val="%1、"/>
      <w:lvlJc w:val="left"/>
    </w:lvl>
  </w:abstractNum>
  <w:abstractNum w:abstractNumId="2">
    <w:nsid w:val="EC309CF2"/>
    <w:multiLevelType w:val="singleLevel"/>
    <w:tmpl w:val="EC309CF2"/>
    <w:lvl w:ilvl="0" w:tentative="0">
      <w:start w:val="1"/>
      <w:numFmt w:val="decimal"/>
      <w:suff w:val="nothing"/>
      <w:lvlText w:val="%1、"/>
      <w:lvlJc w:val="left"/>
    </w:lvl>
  </w:abstractNum>
  <w:abstractNum w:abstractNumId="3">
    <w:nsid w:val="ED44C499"/>
    <w:multiLevelType w:val="singleLevel"/>
    <w:tmpl w:val="ED44C499"/>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00000000"/>
    <w:multiLevelType w:val="multilevel"/>
    <w:tmpl w:val="00000000"/>
    <w:lvl w:ilvl="0" w:tentative="0">
      <w:start w:val="1"/>
      <w:numFmt w:val="decimal"/>
      <w:pStyle w:val="89"/>
      <w:suff w:val="space"/>
      <w:lvlText w:val="表%1 "/>
      <w:lvlJc w:val="center"/>
      <w:pPr>
        <w:ind w:left="420" w:hanging="132"/>
      </w:pPr>
      <w:rPr>
        <w:rFonts w:hint="default" w:ascii="Times New Roman" w:hAnsi="Times New Roman" w:eastAsia="宋体" w:cs="Times New Roman"/>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2"/>
    <w:multiLevelType w:val="multilevel"/>
    <w:tmpl w:val="00000012"/>
    <w:lvl w:ilvl="0" w:tentative="0">
      <w:start w:val="1"/>
      <w:numFmt w:val="decimal"/>
      <w:lvlText w:val="%1"/>
      <w:lvlJc w:val="left"/>
      <w:pPr>
        <w:tabs>
          <w:tab w:val="left" w:pos="432"/>
        </w:tabs>
        <w:ind w:left="432" w:hanging="432"/>
      </w:pPr>
      <w:rPr>
        <w:rFonts w:hint="eastAsia"/>
      </w:rPr>
    </w:lvl>
    <w:lvl w:ilvl="1" w:tentative="0">
      <w:start w:val="1"/>
      <w:numFmt w:val="decimal"/>
      <w:pStyle w:val="10"/>
      <w:lvlText w:val="%1.%2"/>
      <w:lvlJc w:val="left"/>
      <w:pPr>
        <w:tabs>
          <w:tab w:val="left" w:pos="576"/>
        </w:tabs>
        <w:ind w:left="1154"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1E9F3481"/>
    <w:multiLevelType w:val="singleLevel"/>
    <w:tmpl w:val="1E9F3481"/>
    <w:lvl w:ilvl="0" w:tentative="0">
      <w:start w:val="2"/>
      <w:numFmt w:val="decimal"/>
      <w:suff w:val="nothing"/>
      <w:lvlText w:val="（%1）"/>
      <w:lvlJc w:val="left"/>
    </w:lvl>
  </w:abstractNum>
  <w:num w:numId="1">
    <w:abstractNumId w:val="5"/>
  </w:num>
  <w:num w:numId="2">
    <w:abstractNumId w:val="3"/>
  </w:num>
  <w:num w:numId="3">
    <w:abstractNumId w:val="4"/>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3ZjE1ZjU1MmFiZGEwNTdjYzU0YTgxOTgzYWM3NDcifQ=="/>
  </w:docVars>
  <w:rsids>
    <w:rsidRoot w:val="00000000"/>
    <w:rsid w:val="000175E6"/>
    <w:rsid w:val="005C0F6E"/>
    <w:rsid w:val="00927FA9"/>
    <w:rsid w:val="00F9432B"/>
    <w:rsid w:val="013B4944"/>
    <w:rsid w:val="01ED3622"/>
    <w:rsid w:val="022A3EA3"/>
    <w:rsid w:val="025E05D3"/>
    <w:rsid w:val="02B50726"/>
    <w:rsid w:val="03FA6D38"/>
    <w:rsid w:val="047343F5"/>
    <w:rsid w:val="0490144A"/>
    <w:rsid w:val="055C337C"/>
    <w:rsid w:val="05670D5F"/>
    <w:rsid w:val="057B7A05"/>
    <w:rsid w:val="05C13E91"/>
    <w:rsid w:val="06231E4A"/>
    <w:rsid w:val="076F2BC6"/>
    <w:rsid w:val="07C1191B"/>
    <w:rsid w:val="07FE66CB"/>
    <w:rsid w:val="08404F36"/>
    <w:rsid w:val="08570EF4"/>
    <w:rsid w:val="088B63D5"/>
    <w:rsid w:val="08A9795F"/>
    <w:rsid w:val="0935598B"/>
    <w:rsid w:val="095A3DD5"/>
    <w:rsid w:val="098E2AFB"/>
    <w:rsid w:val="0A283ED3"/>
    <w:rsid w:val="0A5464CD"/>
    <w:rsid w:val="0AEA1D2F"/>
    <w:rsid w:val="0B195A81"/>
    <w:rsid w:val="0B7218AA"/>
    <w:rsid w:val="0B815649"/>
    <w:rsid w:val="0BB772BD"/>
    <w:rsid w:val="0C2D21C2"/>
    <w:rsid w:val="0D0D2160"/>
    <w:rsid w:val="0D4032E2"/>
    <w:rsid w:val="0D4728C2"/>
    <w:rsid w:val="0D5D3E94"/>
    <w:rsid w:val="0D700F55"/>
    <w:rsid w:val="0DB31D06"/>
    <w:rsid w:val="0DC45CC1"/>
    <w:rsid w:val="0E042561"/>
    <w:rsid w:val="0E194D6D"/>
    <w:rsid w:val="0E7938DE"/>
    <w:rsid w:val="0EF32D02"/>
    <w:rsid w:val="0F3155D8"/>
    <w:rsid w:val="101637E3"/>
    <w:rsid w:val="10294501"/>
    <w:rsid w:val="1034712E"/>
    <w:rsid w:val="10711F01"/>
    <w:rsid w:val="108F6CF1"/>
    <w:rsid w:val="10CC3E59"/>
    <w:rsid w:val="110F67DD"/>
    <w:rsid w:val="11970B81"/>
    <w:rsid w:val="11AB78C4"/>
    <w:rsid w:val="11C049F1"/>
    <w:rsid w:val="11C04E5B"/>
    <w:rsid w:val="120B4A60"/>
    <w:rsid w:val="124E1269"/>
    <w:rsid w:val="12525F91"/>
    <w:rsid w:val="129C545E"/>
    <w:rsid w:val="12BE3627"/>
    <w:rsid w:val="137B1518"/>
    <w:rsid w:val="139D4FEA"/>
    <w:rsid w:val="13F5502B"/>
    <w:rsid w:val="141A0205"/>
    <w:rsid w:val="14261143"/>
    <w:rsid w:val="149D362A"/>
    <w:rsid w:val="14F96B98"/>
    <w:rsid w:val="15714980"/>
    <w:rsid w:val="157E709D"/>
    <w:rsid w:val="160752E5"/>
    <w:rsid w:val="163836F0"/>
    <w:rsid w:val="166A625B"/>
    <w:rsid w:val="16E3365C"/>
    <w:rsid w:val="170D692B"/>
    <w:rsid w:val="17C5584F"/>
    <w:rsid w:val="17D411F6"/>
    <w:rsid w:val="17D80CE7"/>
    <w:rsid w:val="182F0FA4"/>
    <w:rsid w:val="18846779"/>
    <w:rsid w:val="19FF69FF"/>
    <w:rsid w:val="1AC67120"/>
    <w:rsid w:val="1B043BA1"/>
    <w:rsid w:val="1B393B94"/>
    <w:rsid w:val="1B5A0736"/>
    <w:rsid w:val="1B752E97"/>
    <w:rsid w:val="1BC71A8F"/>
    <w:rsid w:val="1C0025BA"/>
    <w:rsid w:val="1C3A325B"/>
    <w:rsid w:val="1C3D736A"/>
    <w:rsid w:val="1C595E4D"/>
    <w:rsid w:val="1C822971"/>
    <w:rsid w:val="1C970CCA"/>
    <w:rsid w:val="1CD557F5"/>
    <w:rsid w:val="1D026011"/>
    <w:rsid w:val="1D19047B"/>
    <w:rsid w:val="1DE57E71"/>
    <w:rsid w:val="1DEA3522"/>
    <w:rsid w:val="1E28501E"/>
    <w:rsid w:val="1E486BAA"/>
    <w:rsid w:val="1E890F8D"/>
    <w:rsid w:val="1ED32208"/>
    <w:rsid w:val="1F283E3A"/>
    <w:rsid w:val="1F3408FF"/>
    <w:rsid w:val="1F4D46C5"/>
    <w:rsid w:val="1F5844BB"/>
    <w:rsid w:val="1F6D7F66"/>
    <w:rsid w:val="1F91749D"/>
    <w:rsid w:val="1FD9384E"/>
    <w:rsid w:val="1FE83A91"/>
    <w:rsid w:val="20B56069"/>
    <w:rsid w:val="213B5E42"/>
    <w:rsid w:val="217A3A43"/>
    <w:rsid w:val="223B434C"/>
    <w:rsid w:val="223E3D6B"/>
    <w:rsid w:val="2263692C"/>
    <w:rsid w:val="2265586D"/>
    <w:rsid w:val="22A55C69"/>
    <w:rsid w:val="22DE117B"/>
    <w:rsid w:val="23797C9C"/>
    <w:rsid w:val="238037CD"/>
    <w:rsid w:val="23D95F46"/>
    <w:rsid w:val="23F30C56"/>
    <w:rsid w:val="23FE3883"/>
    <w:rsid w:val="24144F9B"/>
    <w:rsid w:val="242F7EE0"/>
    <w:rsid w:val="24973CD7"/>
    <w:rsid w:val="24983464"/>
    <w:rsid w:val="24A520E1"/>
    <w:rsid w:val="24AA7567"/>
    <w:rsid w:val="24D334FA"/>
    <w:rsid w:val="25A80A81"/>
    <w:rsid w:val="262650A6"/>
    <w:rsid w:val="26434B7C"/>
    <w:rsid w:val="266B424C"/>
    <w:rsid w:val="26720558"/>
    <w:rsid w:val="26A30712"/>
    <w:rsid w:val="26E3633D"/>
    <w:rsid w:val="27F154AD"/>
    <w:rsid w:val="280666E5"/>
    <w:rsid w:val="28397580"/>
    <w:rsid w:val="28481571"/>
    <w:rsid w:val="28642123"/>
    <w:rsid w:val="28AD3ACA"/>
    <w:rsid w:val="28C52950"/>
    <w:rsid w:val="29626662"/>
    <w:rsid w:val="29C04409"/>
    <w:rsid w:val="29F23E8A"/>
    <w:rsid w:val="29F933A8"/>
    <w:rsid w:val="2A1D07DB"/>
    <w:rsid w:val="2A510485"/>
    <w:rsid w:val="2AFA0B1C"/>
    <w:rsid w:val="2B1971F4"/>
    <w:rsid w:val="2BD36B44"/>
    <w:rsid w:val="2BD4136D"/>
    <w:rsid w:val="2C0E0D23"/>
    <w:rsid w:val="2C187804"/>
    <w:rsid w:val="2C1C51EE"/>
    <w:rsid w:val="2C2F0132"/>
    <w:rsid w:val="2C4B30D1"/>
    <w:rsid w:val="2C9A6113"/>
    <w:rsid w:val="2C9D5C03"/>
    <w:rsid w:val="2D3F06D5"/>
    <w:rsid w:val="2D404F0C"/>
    <w:rsid w:val="2DC773DC"/>
    <w:rsid w:val="2DDF5A23"/>
    <w:rsid w:val="2E3B3926"/>
    <w:rsid w:val="2E6D7F83"/>
    <w:rsid w:val="2E9F2106"/>
    <w:rsid w:val="2EB3170E"/>
    <w:rsid w:val="2EC15BD9"/>
    <w:rsid w:val="2F265668"/>
    <w:rsid w:val="2FBB6ACC"/>
    <w:rsid w:val="2FCA7695"/>
    <w:rsid w:val="305B35A4"/>
    <w:rsid w:val="307C37BB"/>
    <w:rsid w:val="315E3BB3"/>
    <w:rsid w:val="319371C9"/>
    <w:rsid w:val="32667A0E"/>
    <w:rsid w:val="32963820"/>
    <w:rsid w:val="32A27B1D"/>
    <w:rsid w:val="32B4277E"/>
    <w:rsid w:val="32B75C71"/>
    <w:rsid w:val="32B85545"/>
    <w:rsid w:val="33244988"/>
    <w:rsid w:val="333077D1"/>
    <w:rsid w:val="33AD2BD0"/>
    <w:rsid w:val="34092390"/>
    <w:rsid w:val="342A1C90"/>
    <w:rsid w:val="34441786"/>
    <w:rsid w:val="34452E08"/>
    <w:rsid w:val="344E43B3"/>
    <w:rsid w:val="347B5013"/>
    <w:rsid w:val="348334BA"/>
    <w:rsid w:val="34936269"/>
    <w:rsid w:val="35505D1F"/>
    <w:rsid w:val="35D408E8"/>
    <w:rsid w:val="37225683"/>
    <w:rsid w:val="37DC5F59"/>
    <w:rsid w:val="381579AD"/>
    <w:rsid w:val="384E1069"/>
    <w:rsid w:val="385B0E4C"/>
    <w:rsid w:val="39383EAC"/>
    <w:rsid w:val="39934616"/>
    <w:rsid w:val="39BF18AF"/>
    <w:rsid w:val="3AE276EF"/>
    <w:rsid w:val="3BC8595D"/>
    <w:rsid w:val="3BE473AB"/>
    <w:rsid w:val="3BEE2674"/>
    <w:rsid w:val="3C277ED7"/>
    <w:rsid w:val="3C642299"/>
    <w:rsid w:val="3C8446EA"/>
    <w:rsid w:val="3C9568F7"/>
    <w:rsid w:val="3C990195"/>
    <w:rsid w:val="3C9C5ED7"/>
    <w:rsid w:val="3CAD1E92"/>
    <w:rsid w:val="3CB60D47"/>
    <w:rsid w:val="3D2008B6"/>
    <w:rsid w:val="3D2D3465"/>
    <w:rsid w:val="3D31661F"/>
    <w:rsid w:val="3D402D06"/>
    <w:rsid w:val="3D6C58AA"/>
    <w:rsid w:val="3D986795"/>
    <w:rsid w:val="3E292AC9"/>
    <w:rsid w:val="3E5A1BA6"/>
    <w:rsid w:val="3E9055C8"/>
    <w:rsid w:val="3F1C6E5B"/>
    <w:rsid w:val="3F367F1D"/>
    <w:rsid w:val="4057639D"/>
    <w:rsid w:val="40A47108"/>
    <w:rsid w:val="40E66965"/>
    <w:rsid w:val="40EB4D37"/>
    <w:rsid w:val="41393CF5"/>
    <w:rsid w:val="416F3BBA"/>
    <w:rsid w:val="41AF776A"/>
    <w:rsid w:val="42274AC5"/>
    <w:rsid w:val="423C45AF"/>
    <w:rsid w:val="425450BD"/>
    <w:rsid w:val="429733C9"/>
    <w:rsid w:val="42D40179"/>
    <w:rsid w:val="438D16FF"/>
    <w:rsid w:val="43923B90"/>
    <w:rsid w:val="43B92ECB"/>
    <w:rsid w:val="43C26223"/>
    <w:rsid w:val="43D16466"/>
    <w:rsid w:val="43E10FF7"/>
    <w:rsid w:val="440920A4"/>
    <w:rsid w:val="440D45BF"/>
    <w:rsid w:val="442838FD"/>
    <w:rsid w:val="45563F54"/>
    <w:rsid w:val="456C4BBE"/>
    <w:rsid w:val="45815C6A"/>
    <w:rsid w:val="47190850"/>
    <w:rsid w:val="474C2E23"/>
    <w:rsid w:val="474D4056"/>
    <w:rsid w:val="475E6263"/>
    <w:rsid w:val="47D536AA"/>
    <w:rsid w:val="47E524E0"/>
    <w:rsid w:val="48036E0A"/>
    <w:rsid w:val="480D4F74"/>
    <w:rsid w:val="481D2624"/>
    <w:rsid w:val="48D013E2"/>
    <w:rsid w:val="49A33E79"/>
    <w:rsid w:val="4A6F4C2B"/>
    <w:rsid w:val="4A9711E1"/>
    <w:rsid w:val="4ABA3F7E"/>
    <w:rsid w:val="4B0906E5"/>
    <w:rsid w:val="4B994494"/>
    <w:rsid w:val="4CE27936"/>
    <w:rsid w:val="4D491763"/>
    <w:rsid w:val="4D7049E9"/>
    <w:rsid w:val="4DDC4386"/>
    <w:rsid w:val="4E8C5DAC"/>
    <w:rsid w:val="4F3F0CC2"/>
    <w:rsid w:val="4F5B752C"/>
    <w:rsid w:val="4F662143"/>
    <w:rsid w:val="4F7A5C04"/>
    <w:rsid w:val="4FBC446F"/>
    <w:rsid w:val="50263E5E"/>
    <w:rsid w:val="505B3C87"/>
    <w:rsid w:val="50696F54"/>
    <w:rsid w:val="50A07C38"/>
    <w:rsid w:val="50EA500B"/>
    <w:rsid w:val="50EC2B32"/>
    <w:rsid w:val="511F4104"/>
    <w:rsid w:val="51387B25"/>
    <w:rsid w:val="516C329E"/>
    <w:rsid w:val="51A8290C"/>
    <w:rsid w:val="51F36142"/>
    <w:rsid w:val="51FE25E7"/>
    <w:rsid w:val="5201260D"/>
    <w:rsid w:val="523E560F"/>
    <w:rsid w:val="52A1794C"/>
    <w:rsid w:val="52DB4C0C"/>
    <w:rsid w:val="532C190B"/>
    <w:rsid w:val="53A76E27"/>
    <w:rsid w:val="53C2401E"/>
    <w:rsid w:val="546F2C29"/>
    <w:rsid w:val="547B03D3"/>
    <w:rsid w:val="54C618EB"/>
    <w:rsid w:val="55312F03"/>
    <w:rsid w:val="55BA31FE"/>
    <w:rsid w:val="562444E6"/>
    <w:rsid w:val="569F23F4"/>
    <w:rsid w:val="56BE1520"/>
    <w:rsid w:val="56BF65F2"/>
    <w:rsid w:val="56CD0377"/>
    <w:rsid w:val="56E410C1"/>
    <w:rsid w:val="570D165A"/>
    <w:rsid w:val="575907F5"/>
    <w:rsid w:val="57A33DBD"/>
    <w:rsid w:val="57C759F5"/>
    <w:rsid w:val="57FA1FD8"/>
    <w:rsid w:val="580C6F3F"/>
    <w:rsid w:val="583F3E8F"/>
    <w:rsid w:val="58C83E84"/>
    <w:rsid w:val="590824D3"/>
    <w:rsid w:val="5A70581A"/>
    <w:rsid w:val="5A92249C"/>
    <w:rsid w:val="5ACE32A8"/>
    <w:rsid w:val="5AFF16B3"/>
    <w:rsid w:val="5BAC183B"/>
    <w:rsid w:val="5BCB77E7"/>
    <w:rsid w:val="5BD20B76"/>
    <w:rsid w:val="5BE2022E"/>
    <w:rsid w:val="5C080CFC"/>
    <w:rsid w:val="5C7F2AAC"/>
    <w:rsid w:val="5C8207EE"/>
    <w:rsid w:val="5CDF0DB4"/>
    <w:rsid w:val="5CFE2FB0"/>
    <w:rsid w:val="5D1C02FB"/>
    <w:rsid w:val="5D417D61"/>
    <w:rsid w:val="5E025BD9"/>
    <w:rsid w:val="5E051485"/>
    <w:rsid w:val="5E3369E9"/>
    <w:rsid w:val="5EA467FA"/>
    <w:rsid w:val="5EAC3900"/>
    <w:rsid w:val="5EEE216B"/>
    <w:rsid w:val="5EF44A7B"/>
    <w:rsid w:val="5F2B2D62"/>
    <w:rsid w:val="5F887EC9"/>
    <w:rsid w:val="603A0266"/>
    <w:rsid w:val="604069F6"/>
    <w:rsid w:val="605424A1"/>
    <w:rsid w:val="60732927"/>
    <w:rsid w:val="60A26D69"/>
    <w:rsid w:val="60FF41BB"/>
    <w:rsid w:val="611761ED"/>
    <w:rsid w:val="618B1EF3"/>
    <w:rsid w:val="61E84C4F"/>
    <w:rsid w:val="620B6B90"/>
    <w:rsid w:val="625E7607"/>
    <w:rsid w:val="62976675"/>
    <w:rsid w:val="63273E9D"/>
    <w:rsid w:val="643C4EF1"/>
    <w:rsid w:val="64963088"/>
    <w:rsid w:val="64A34494"/>
    <w:rsid w:val="656E190F"/>
    <w:rsid w:val="65725E38"/>
    <w:rsid w:val="658C4D4C"/>
    <w:rsid w:val="659F7D1B"/>
    <w:rsid w:val="662B7800"/>
    <w:rsid w:val="662D3578"/>
    <w:rsid w:val="66CD08B8"/>
    <w:rsid w:val="671958AB"/>
    <w:rsid w:val="683A01CF"/>
    <w:rsid w:val="685077A7"/>
    <w:rsid w:val="6938470E"/>
    <w:rsid w:val="6A37081E"/>
    <w:rsid w:val="6A3E67DB"/>
    <w:rsid w:val="6AB15A99"/>
    <w:rsid w:val="6AB31849"/>
    <w:rsid w:val="6ACE4BFE"/>
    <w:rsid w:val="6B0625EA"/>
    <w:rsid w:val="6BBA7EAA"/>
    <w:rsid w:val="6BCC61AB"/>
    <w:rsid w:val="6BE75F78"/>
    <w:rsid w:val="6C3911C8"/>
    <w:rsid w:val="6C7B1C31"/>
    <w:rsid w:val="6C9518BE"/>
    <w:rsid w:val="6CEF77DA"/>
    <w:rsid w:val="6D000BE4"/>
    <w:rsid w:val="6D0668D1"/>
    <w:rsid w:val="6D4573FA"/>
    <w:rsid w:val="6D547AFD"/>
    <w:rsid w:val="6D9739CD"/>
    <w:rsid w:val="6E072901"/>
    <w:rsid w:val="6E380D0C"/>
    <w:rsid w:val="6E677844"/>
    <w:rsid w:val="6F011A46"/>
    <w:rsid w:val="6F8561D3"/>
    <w:rsid w:val="6FA523D2"/>
    <w:rsid w:val="7015536B"/>
    <w:rsid w:val="703419A7"/>
    <w:rsid w:val="70422316"/>
    <w:rsid w:val="70AC7790"/>
    <w:rsid w:val="72AF5315"/>
    <w:rsid w:val="73065569"/>
    <w:rsid w:val="73223D39"/>
    <w:rsid w:val="73B928EF"/>
    <w:rsid w:val="74546174"/>
    <w:rsid w:val="746960C4"/>
    <w:rsid w:val="746D05C0"/>
    <w:rsid w:val="750162FC"/>
    <w:rsid w:val="755C4120"/>
    <w:rsid w:val="75F60897"/>
    <w:rsid w:val="76360227"/>
    <w:rsid w:val="764E3BDA"/>
    <w:rsid w:val="768E47EC"/>
    <w:rsid w:val="76E97048"/>
    <w:rsid w:val="772269FE"/>
    <w:rsid w:val="773D7394"/>
    <w:rsid w:val="77643B8B"/>
    <w:rsid w:val="777D117C"/>
    <w:rsid w:val="798F1021"/>
    <w:rsid w:val="79DD6C0C"/>
    <w:rsid w:val="7A026DB8"/>
    <w:rsid w:val="7A1C479D"/>
    <w:rsid w:val="7A523156"/>
    <w:rsid w:val="7A666C01"/>
    <w:rsid w:val="7A6B246A"/>
    <w:rsid w:val="7A6D1D3E"/>
    <w:rsid w:val="7A923E9A"/>
    <w:rsid w:val="7ACD72E8"/>
    <w:rsid w:val="7AF84C83"/>
    <w:rsid w:val="7B9A4DB4"/>
    <w:rsid w:val="7BA7127F"/>
    <w:rsid w:val="7BD61D46"/>
    <w:rsid w:val="7C1D7794"/>
    <w:rsid w:val="7C226B6C"/>
    <w:rsid w:val="7CCD7F50"/>
    <w:rsid w:val="7CE6115E"/>
    <w:rsid w:val="7D1110A6"/>
    <w:rsid w:val="7D3A16E9"/>
    <w:rsid w:val="7D423956"/>
    <w:rsid w:val="7D575A6A"/>
    <w:rsid w:val="7DC0487A"/>
    <w:rsid w:val="7DD22B89"/>
    <w:rsid w:val="7DD30A52"/>
    <w:rsid w:val="7DEC14A3"/>
    <w:rsid w:val="7DFC26AE"/>
    <w:rsid w:val="7E044833"/>
    <w:rsid w:val="7E4E00D8"/>
    <w:rsid w:val="7E8D0C00"/>
    <w:rsid w:val="7F3E1EFB"/>
    <w:rsid w:val="7F596D35"/>
    <w:rsid w:val="7F5A7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5"/>
    <w:autoRedefine/>
    <w:qFormat/>
    <w:uiPriority w:val="99"/>
    <w:pPr>
      <w:keepNext/>
      <w:overflowPunct w:val="0"/>
      <w:snapToGrid w:val="0"/>
      <w:spacing w:before="120" w:after="160" w:line="259" w:lineRule="auto"/>
      <w:ind w:left="432" w:hanging="432"/>
      <w:outlineLvl w:val="0"/>
    </w:pPr>
    <w:rPr>
      <w:rFonts w:eastAsia="黑体"/>
      <w:color w:val="000000"/>
      <w:kern w:val="44"/>
      <w:sz w:val="30"/>
      <w:szCs w:val="30"/>
    </w:rPr>
  </w:style>
  <w:style w:type="paragraph" w:styleId="5">
    <w:name w:val="heading 2"/>
    <w:basedOn w:val="1"/>
    <w:next w:val="1"/>
    <w:link w:val="106"/>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autoRedefine/>
    <w:qFormat/>
    <w:uiPriority w:val="0"/>
    <w:pPr>
      <w:keepNext/>
      <w:keepLines/>
      <w:spacing w:before="50" w:beforeLines="50" w:after="50" w:afterLines="50"/>
      <w:jc w:val="left"/>
      <w:outlineLvl w:val="2"/>
    </w:pPr>
    <w:rPr>
      <w:b/>
      <w:bCs/>
      <w:szCs w:val="32"/>
    </w:rPr>
  </w:style>
  <w:style w:type="paragraph" w:styleId="7">
    <w:name w:val="heading 4"/>
    <w:basedOn w:val="1"/>
    <w:next w:val="1"/>
    <w:autoRedefine/>
    <w:qFormat/>
    <w:uiPriority w:val="9"/>
    <w:pPr>
      <w:keepNext/>
      <w:keepLines/>
      <w:spacing w:before="280" w:after="290" w:line="376" w:lineRule="auto"/>
      <w:outlineLvl w:val="3"/>
    </w:pPr>
    <w:rPr>
      <w:rFonts w:ascii="Cambria" w:hAnsi="Cambria"/>
      <w:b/>
      <w:bCs/>
      <w:sz w:val="28"/>
      <w:szCs w:val="28"/>
    </w:rPr>
  </w:style>
  <w:style w:type="character" w:default="1" w:styleId="35">
    <w:name w:val="Default Paragraph Font"/>
    <w:autoRedefine/>
    <w:qFormat/>
    <w:uiPriority w:val="1"/>
  </w:style>
  <w:style w:type="table" w:default="1" w:styleId="33">
    <w:name w:val="Normal Table"/>
    <w:autoRedefine/>
    <w:qFormat/>
    <w:uiPriority w:val="99"/>
    <w:tblPr>
      <w:tblCellMar>
        <w:top w:w="0" w:type="dxa"/>
        <w:left w:w="108" w:type="dxa"/>
        <w:bottom w:w="0" w:type="dxa"/>
        <w:right w:w="108" w:type="dxa"/>
      </w:tblCellMar>
    </w:tblPr>
  </w:style>
  <w:style w:type="paragraph" w:customStyle="1" w:styleId="2">
    <w:name w:val="Default"/>
    <w:basedOn w:val="3"/>
    <w:next w:val="1"/>
    <w:autoRedefine/>
    <w:qFormat/>
    <w:uiPriority w:val="0"/>
    <w:pPr>
      <w:autoSpaceDE w:val="0"/>
      <w:autoSpaceDN w:val="0"/>
      <w:adjustRightInd w:val="0"/>
    </w:pPr>
    <w:rPr>
      <w:rFonts w:ascii="宋体" w:cs="宋体"/>
      <w:sz w:val="24"/>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8">
    <w:name w:val="table of authorities"/>
    <w:basedOn w:val="1"/>
    <w:next w:val="1"/>
    <w:autoRedefine/>
    <w:qFormat/>
    <w:uiPriority w:val="0"/>
    <w:pPr>
      <w:ind w:left="420" w:leftChars="200"/>
    </w:pPr>
  </w:style>
  <w:style w:type="paragraph" w:styleId="9">
    <w:name w:val="Normal Indent"/>
    <w:basedOn w:val="1"/>
    <w:next w:val="10"/>
    <w:autoRedefine/>
    <w:qFormat/>
    <w:uiPriority w:val="0"/>
    <w:pPr>
      <w:ind w:firstLine="420"/>
    </w:pPr>
    <w:rPr>
      <w:sz w:val="15"/>
      <w:szCs w:val="20"/>
    </w:rPr>
  </w:style>
  <w:style w:type="paragraph" w:customStyle="1" w:styleId="10">
    <w:name w:val="样式 标题 2 + 三号1"/>
    <w:basedOn w:val="5"/>
    <w:next w:val="1"/>
    <w:autoRedefine/>
    <w:qFormat/>
    <w:uiPriority w:val="0"/>
    <w:pPr>
      <w:keepLines w:val="0"/>
      <w:numPr>
        <w:ilvl w:val="1"/>
        <w:numId w:val="1"/>
      </w:numPr>
      <w:tabs>
        <w:tab w:val="left" w:pos="718"/>
        <w:tab w:val="clear" w:pos="576"/>
      </w:tabs>
      <w:spacing w:line="480" w:lineRule="auto"/>
      <w:ind w:left="718"/>
      <w:jc w:val="left"/>
    </w:pPr>
    <w:rPr>
      <w:rFonts w:ascii="宋体" w:hAnsi="宋体" w:eastAsia="宋体" w:cs="Times New Roman"/>
      <w:kern w:val="0"/>
      <w:sz w:val="32"/>
    </w:rPr>
  </w:style>
  <w:style w:type="paragraph" w:styleId="11">
    <w:name w:val="caption"/>
    <w:basedOn w:val="1"/>
    <w:next w:val="1"/>
    <w:autoRedefine/>
    <w:qFormat/>
    <w:uiPriority w:val="0"/>
    <w:pPr>
      <w:tabs>
        <w:tab w:val="center" w:pos="10467"/>
        <w:tab w:val="left" w:pos="13095"/>
      </w:tabs>
      <w:spacing w:before="156" w:beforeLines="50"/>
      <w:jc w:val="center"/>
    </w:pPr>
    <w:rPr>
      <w:rFonts w:ascii="Tahoma" w:hAnsi="Tahoma"/>
      <w:b/>
      <w:color w:val="000000"/>
      <w:szCs w:val="21"/>
    </w:rPr>
  </w:style>
  <w:style w:type="paragraph" w:styleId="12">
    <w:name w:val="Document Map"/>
    <w:basedOn w:val="1"/>
    <w:link w:val="43"/>
    <w:autoRedefine/>
    <w:qFormat/>
    <w:uiPriority w:val="0"/>
    <w:rPr>
      <w:rFonts w:ascii="宋体"/>
      <w:sz w:val="18"/>
      <w:szCs w:val="18"/>
    </w:rPr>
  </w:style>
  <w:style w:type="paragraph" w:styleId="13">
    <w:name w:val="annotation text"/>
    <w:basedOn w:val="1"/>
    <w:link w:val="44"/>
    <w:autoRedefine/>
    <w:qFormat/>
    <w:uiPriority w:val="0"/>
    <w:pPr>
      <w:jc w:val="left"/>
    </w:pPr>
    <w:rPr>
      <w:kern w:val="0"/>
      <w:sz w:val="24"/>
      <w:szCs w:val="20"/>
    </w:rPr>
  </w:style>
  <w:style w:type="paragraph" w:styleId="14">
    <w:name w:val="Body Text"/>
    <w:basedOn w:val="1"/>
    <w:next w:val="15"/>
    <w:link w:val="45"/>
    <w:autoRedefine/>
    <w:qFormat/>
    <w:uiPriority w:val="0"/>
    <w:pPr>
      <w:widowControl/>
      <w:snapToGrid w:val="0"/>
      <w:spacing w:before="60" w:after="160" w:line="259" w:lineRule="auto"/>
      <w:ind w:right="113"/>
    </w:pPr>
    <w:rPr>
      <w:kern w:val="0"/>
      <w:sz w:val="18"/>
      <w:szCs w:val="20"/>
    </w:rPr>
  </w:style>
  <w:style w:type="paragraph" w:styleId="15">
    <w:name w:val="toc 1"/>
    <w:basedOn w:val="1"/>
    <w:next w:val="1"/>
    <w:autoRedefine/>
    <w:qFormat/>
    <w:uiPriority w:val="39"/>
    <w:pPr>
      <w:tabs>
        <w:tab w:val="right" w:leader="hyphen" w:pos="8812"/>
      </w:tabs>
    </w:pPr>
    <w:rPr>
      <w:rFonts w:ascii="黑体"/>
      <w:sz w:val="28"/>
      <w:szCs w:val="36"/>
    </w:rPr>
  </w:style>
  <w:style w:type="paragraph" w:styleId="16">
    <w:name w:val="Body Text Indent"/>
    <w:basedOn w:val="1"/>
    <w:next w:val="1"/>
    <w:link w:val="46"/>
    <w:autoRedefine/>
    <w:qFormat/>
    <w:uiPriority w:val="0"/>
    <w:pPr>
      <w:spacing w:after="120"/>
      <w:ind w:left="420" w:leftChars="200"/>
    </w:pPr>
    <w:rPr>
      <w:kern w:val="0"/>
      <w:sz w:val="24"/>
      <w:szCs w:val="20"/>
    </w:rPr>
  </w:style>
  <w:style w:type="paragraph" w:styleId="17">
    <w:name w:val="Plain Text"/>
    <w:basedOn w:val="1"/>
    <w:next w:val="1"/>
    <w:link w:val="47"/>
    <w:autoRedefine/>
    <w:qFormat/>
    <w:uiPriority w:val="0"/>
    <w:pPr>
      <w:spacing w:line="520" w:lineRule="exact"/>
    </w:pPr>
    <w:rPr>
      <w:rFonts w:ascii="Courier New" w:hAnsi="Courier New"/>
      <w:szCs w:val="20"/>
    </w:rPr>
  </w:style>
  <w:style w:type="paragraph" w:styleId="18">
    <w:name w:val="List Bullet 5"/>
    <w:basedOn w:val="1"/>
    <w:autoRedefine/>
    <w:qFormat/>
    <w:uiPriority w:val="0"/>
    <w:pPr>
      <w:numPr>
        <w:ilvl w:val="0"/>
        <w:numId w:val="2"/>
      </w:numPr>
    </w:pPr>
  </w:style>
  <w:style w:type="paragraph" w:styleId="19">
    <w:name w:val="Date"/>
    <w:basedOn w:val="1"/>
    <w:next w:val="1"/>
    <w:link w:val="48"/>
    <w:autoRedefine/>
    <w:qFormat/>
    <w:uiPriority w:val="0"/>
    <w:pPr>
      <w:ind w:left="100" w:leftChars="2500"/>
    </w:pPr>
    <w:rPr>
      <w:kern w:val="0"/>
      <w:sz w:val="24"/>
      <w:szCs w:val="20"/>
    </w:rPr>
  </w:style>
  <w:style w:type="paragraph" w:styleId="20">
    <w:name w:val="Body Text Indent 2"/>
    <w:basedOn w:val="1"/>
    <w:next w:val="1"/>
    <w:link w:val="49"/>
    <w:autoRedefine/>
    <w:qFormat/>
    <w:uiPriority w:val="0"/>
    <w:pPr>
      <w:spacing w:line="500" w:lineRule="exact"/>
      <w:ind w:firstLine="480"/>
    </w:pPr>
    <w:rPr>
      <w:rFonts w:eastAsia="楷体_GB2312"/>
      <w:sz w:val="28"/>
    </w:rPr>
  </w:style>
  <w:style w:type="paragraph" w:styleId="21">
    <w:name w:val="Balloon Text"/>
    <w:basedOn w:val="1"/>
    <w:link w:val="50"/>
    <w:autoRedefine/>
    <w:qFormat/>
    <w:uiPriority w:val="0"/>
    <w:rPr>
      <w:kern w:val="0"/>
      <w:sz w:val="18"/>
      <w:szCs w:val="20"/>
    </w:rPr>
  </w:style>
  <w:style w:type="paragraph" w:styleId="22">
    <w:name w:val="footer"/>
    <w:basedOn w:val="1"/>
    <w:link w:val="51"/>
    <w:autoRedefine/>
    <w:qFormat/>
    <w:uiPriority w:val="99"/>
    <w:pPr>
      <w:tabs>
        <w:tab w:val="center" w:pos="4153"/>
        <w:tab w:val="right" w:pos="8306"/>
      </w:tabs>
      <w:snapToGrid w:val="0"/>
      <w:jc w:val="left"/>
    </w:pPr>
    <w:rPr>
      <w:kern w:val="0"/>
      <w:sz w:val="18"/>
      <w:szCs w:val="20"/>
    </w:rPr>
  </w:style>
  <w:style w:type="paragraph" w:styleId="23">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Subtitle"/>
    <w:basedOn w:val="1"/>
    <w:autoRedefine/>
    <w:qFormat/>
    <w:uiPriority w:val="11"/>
    <w:pPr>
      <w:adjustRightInd w:val="0"/>
      <w:snapToGrid w:val="0"/>
      <w:spacing w:line="360" w:lineRule="auto"/>
      <w:jc w:val="center"/>
    </w:pPr>
    <w:rPr>
      <w:rFonts w:eastAsia="仿宋"/>
      <w:szCs w:val="22"/>
    </w:rPr>
  </w:style>
  <w:style w:type="paragraph" w:styleId="25">
    <w:name w:val="List"/>
    <w:basedOn w:val="1"/>
    <w:autoRedefine/>
    <w:qFormat/>
    <w:uiPriority w:val="0"/>
    <w:pPr>
      <w:spacing w:line="320" w:lineRule="exact"/>
      <w:jc w:val="center"/>
    </w:pPr>
    <w:rPr>
      <w:sz w:val="22"/>
    </w:rPr>
  </w:style>
  <w:style w:type="paragraph" w:styleId="26">
    <w:name w:val="Body Text Indent 3"/>
    <w:basedOn w:val="1"/>
    <w:autoRedefine/>
    <w:qFormat/>
    <w:uiPriority w:val="0"/>
    <w:pPr>
      <w:spacing w:line="500" w:lineRule="exact"/>
      <w:ind w:firstLine="465"/>
    </w:pPr>
    <w:rPr>
      <w:sz w:val="24"/>
    </w:rPr>
  </w:style>
  <w:style w:type="paragraph" w:styleId="27">
    <w:name w:val="toc 2"/>
    <w:basedOn w:val="1"/>
    <w:next w:val="1"/>
    <w:autoRedefine/>
    <w:qFormat/>
    <w:uiPriority w:val="39"/>
    <w:pPr>
      <w:ind w:left="420" w:leftChars="200"/>
    </w:pPr>
  </w:style>
  <w:style w:type="paragraph" w:styleId="28">
    <w:name w:val="Normal (Web)"/>
    <w:basedOn w:val="1"/>
    <w:link w:val="53"/>
    <w:autoRedefine/>
    <w:qFormat/>
    <w:uiPriority w:val="0"/>
    <w:pPr>
      <w:widowControl/>
      <w:spacing w:before="100" w:beforeAutospacing="1" w:after="100" w:afterAutospacing="1"/>
      <w:jc w:val="left"/>
    </w:pPr>
    <w:rPr>
      <w:rFonts w:ascii="宋体" w:hAnsi="宋体"/>
      <w:kern w:val="0"/>
      <w:sz w:val="24"/>
      <w:szCs w:val="20"/>
    </w:rPr>
  </w:style>
  <w:style w:type="paragraph" w:styleId="29">
    <w:name w:val="Title"/>
    <w:basedOn w:val="1"/>
    <w:next w:val="1"/>
    <w:autoRedefine/>
    <w:qFormat/>
    <w:uiPriority w:val="0"/>
    <w:pPr>
      <w:spacing w:before="240" w:after="60"/>
      <w:ind w:firstLine="720"/>
      <w:jc w:val="center"/>
      <w:outlineLvl w:val="0"/>
    </w:pPr>
    <w:rPr>
      <w:rFonts w:ascii="Arial" w:hAnsi="Arial" w:cs="Arial"/>
      <w:b/>
      <w:bCs/>
      <w:sz w:val="32"/>
      <w:szCs w:val="32"/>
    </w:rPr>
  </w:style>
  <w:style w:type="paragraph" w:styleId="30">
    <w:name w:val="annotation subject"/>
    <w:basedOn w:val="13"/>
    <w:next w:val="13"/>
    <w:link w:val="54"/>
    <w:autoRedefine/>
    <w:qFormat/>
    <w:uiPriority w:val="0"/>
    <w:rPr>
      <w:b/>
      <w:kern w:val="2"/>
    </w:rPr>
  </w:style>
  <w:style w:type="paragraph" w:styleId="31">
    <w:name w:val="Body Text First Indent"/>
    <w:basedOn w:val="14"/>
    <w:next w:val="1"/>
    <w:autoRedefine/>
    <w:qFormat/>
    <w:uiPriority w:val="0"/>
    <w:pPr>
      <w:ind w:firstLine="420" w:firstLineChars="100"/>
    </w:pPr>
  </w:style>
  <w:style w:type="paragraph" w:styleId="32">
    <w:name w:val="Body Text First Indent 2"/>
    <w:basedOn w:val="16"/>
    <w:next w:val="31"/>
    <w:autoRedefine/>
    <w:qFormat/>
    <w:uiPriority w:val="0"/>
    <w:pPr>
      <w:ind w:firstLine="420"/>
    </w:pPr>
  </w:style>
  <w:style w:type="table" w:styleId="34">
    <w:name w:val="Table Grid"/>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autoRedefine/>
    <w:qFormat/>
    <w:uiPriority w:val="22"/>
    <w:rPr>
      <w:b/>
      <w:bCs/>
    </w:rPr>
  </w:style>
  <w:style w:type="character" w:styleId="37">
    <w:name w:val="page number"/>
    <w:autoRedefine/>
    <w:qFormat/>
    <w:uiPriority w:val="0"/>
  </w:style>
  <w:style w:type="character" w:styleId="38">
    <w:name w:val="Emphasis"/>
    <w:basedOn w:val="35"/>
    <w:autoRedefine/>
    <w:qFormat/>
    <w:uiPriority w:val="0"/>
    <w:rPr>
      <w:i/>
    </w:rPr>
  </w:style>
  <w:style w:type="character" w:styleId="39">
    <w:name w:val="Hyperlink"/>
    <w:autoRedefine/>
    <w:qFormat/>
    <w:uiPriority w:val="99"/>
    <w:rPr>
      <w:color w:val="0000FF"/>
      <w:u w:val="single"/>
    </w:rPr>
  </w:style>
  <w:style w:type="character" w:styleId="40">
    <w:name w:val="annotation reference"/>
    <w:autoRedefine/>
    <w:qFormat/>
    <w:uiPriority w:val="0"/>
    <w:rPr>
      <w:sz w:val="21"/>
    </w:rPr>
  </w:style>
  <w:style w:type="paragraph" w:customStyle="1" w:styleId="41">
    <w:name w:val="xl27"/>
    <w:basedOn w:val="8"/>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4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文档结构图 Char"/>
    <w:link w:val="12"/>
    <w:autoRedefine/>
    <w:qFormat/>
    <w:uiPriority w:val="0"/>
    <w:rPr>
      <w:rFonts w:ascii="宋体"/>
      <w:kern w:val="2"/>
      <w:sz w:val="18"/>
      <w:szCs w:val="18"/>
    </w:rPr>
  </w:style>
  <w:style w:type="character" w:customStyle="1" w:styleId="44">
    <w:name w:val="批注文字 Char"/>
    <w:link w:val="13"/>
    <w:autoRedefine/>
    <w:qFormat/>
    <w:uiPriority w:val="0"/>
    <w:rPr>
      <w:rFonts w:ascii="Times New Roman" w:hAnsi="Times New Roman" w:eastAsia="宋体"/>
      <w:sz w:val="24"/>
    </w:rPr>
  </w:style>
  <w:style w:type="character" w:customStyle="1" w:styleId="45">
    <w:name w:val="正文文本 Char"/>
    <w:link w:val="14"/>
    <w:autoRedefine/>
    <w:qFormat/>
    <w:uiPriority w:val="0"/>
    <w:rPr>
      <w:sz w:val="18"/>
    </w:rPr>
  </w:style>
  <w:style w:type="character" w:customStyle="1" w:styleId="46">
    <w:name w:val="正文文本缩进 Char"/>
    <w:link w:val="16"/>
    <w:autoRedefine/>
    <w:qFormat/>
    <w:uiPriority w:val="0"/>
    <w:rPr>
      <w:rFonts w:ascii="Times New Roman" w:hAnsi="Times New Roman" w:eastAsia="宋体"/>
      <w:sz w:val="24"/>
    </w:rPr>
  </w:style>
  <w:style w:type="character" w:customStyle="1" w:styleId="47">
    <w:name w:val="纯文本 Char"/>
    <w:link w:val="17"/>
    <w:autoRedefine/>
    <w:qFormat/>
    <w:uiPriority w:val="0"/>
    <w:rPr>
      <w:rFonts w:ascii="Courier New" w:hAnsi="Courier New"/>
      <w:kern w:val="2"/>
      <w:sz w:val="21"/>
    </w:rPr>
  </w:style>
  <w:style w:type="character" w:customStyle="1" w:styleId="48">
    <w:name w:val="日期 Char"/>
    <w:link w:val="19"/>
    <w:autoRedefine/>
    <w:qFormat/>
    <w:uiPriority w:val="0"/>
    <w:rPr>
      <w:rFonts w:ascii="Times New Roman" w:hAnsi="Times New Roman" w:eastAsia="宋体"/>
      <w:sz w:val="24"/>
    </w:rPr>
  </w:style>
  <w:style w:type="character" w:customStyle="1" w:styleId="49">
    <w:name w:val="正文文本缩进 2 Char"/>
    <w:link w:val="20"/>
    <w:autoRedefine/>
    <w:qFormat/>
    <w:uiPriority w:val="0"/>
    <w:rPr>
      <w:rFonts w:eastAsia="楷体_GB2312"/>
      <w:kern w:val="2"/>
      <w:sz w:val="28"/>
      <w:szCs w:val="24"/>
    </w:rPr>
  </w:style>
  <w:style w:type="character" w:customStyle="1" w:styleId="50">
    <w:name w:val="批注框文本 Char"/>
    <w:link w:val="21"/>
    <w:autoRedefine/>
    <w:qFormat/>
    <w:uiPriority w:val="0"/>
    <w:rPr>
      <w:rFonts w:ascii="Times New Roman" w:hAnsi="Times New Roman" w:eastAsia="宋体"/>
      <w:sz w:val="18"/>
    </w:rPr>
  </w:style>
  <w:style w:type="character" w:customStyle="1" w:styleId="51">
    <w:name w:val="页脚 Char"/>
    <w:link w:val="22"/>
    <w:autoRedefine/>
    <w:qFormat/>
    <w:uiPriority w:val="99"/>
    <w:rPr>
      <w:sz w:val="18"/>
    </w:rPr>
  </w:style>
  <w:style w:type="character" w:customStyle="1" w:styleId="52">
    <w:name w:val="页眉 Char"/>
    <w:link w:val="23"/>
    <w:autoRedefine/>
    <w:qFormat/>
    <w:uiPriority w:val="0"/>
    <w:rPr>
      <w:sz w:val="18"/>
    </w:rPr>
  </w:style>
  <w:style w:type="character" w:customStyle="1" w:styleId="53">
    <w:name w:val="普通(网站) Char"/>
    <w:link w:val="28"/>
    <w:autoRedefine/>
    <w:qFormat/>
    <w:uiPriority w:val="0"/>
    <w:rPr>
      <w:rFonts w:ascii="宋体" w:hAnsi="宋体" w:eastAsia="宋体"/>
      <w:sz w:val="24"/>
    </w:rPr>
  </w:style>
  <w:style w:type="character" w:customStyle="1" w:styleId="54">
    <w:name w:val="批注主题 Char"/>
    <w:link w:val="30"/>
    <w:autoRedefine/>
    <w:qFormat/>
    <w:uiPriority w:val="0"/>
    <w:rPr>
      <w:rFonts w:ascii="Times New Roman" w:hAnsi="Times New Roman" w:eastAsia="宋体"/>
      <w:b/>
      <w:kern w:val="2"/>
      <w:sz w:val="24"/>
    </w:rPr>
  </w:style>
  <w:style w:type="character" w:customStyle="1" w:styleId="55">
    <w:name w:val="页脚 字符"/>
    <w:autoRedefine/>
    <w:qFormat/>
    <w:uiPriority w:val="99"/>
  </w:style>
  <w:style w:type="character" w:customStyle="1" w:styleId="56">
    <w:name w:val="批注文字 字符1"/>
    <w:autoRedefine/>
    <w:qFormat/>
    <w:uiPriority w:val="0"/>
    <w:rPr>
      <w:rFonts w:ascii="Times New Roman" w:hAnsi="Times New Roman" w:eastAsia="宋体"/>
      <w:sz w:val="24"/>
    </w:rPr>
  </w:style>
  <w:style w:type="character" w:customStyle="1" w:styleId="57">
    <w:name w:val="表格 Char"/>
    <w:link w:val="58"/>
    <w:autoRedefine/>
    <w:qFormat/>
    <w:uiPriority w:val="0"/>
    <w:rPr>
      <w:rFonts w:ascii="宋体"/>
      <w:sz w:val="21"/>
    </w:rPr>
  </w:style>
  <w:style w:type="paragraph" w:customStyle="1" w:styleId="58">
    <w:name w:val="表格"/>
    <w:basedOn w:val="1"/>
    <w:next w:val="1"/>
    <w:link w:val="57"/>
    <w:autoRedefine/>
    <w:qFormat/>
    <w:uiPriority w:val="0"/>
    <w:pPr>
      <w:adjustRightInd w:val="0"/>
      <w:snapToGrid w:val="0"/>
      <w:spacing w:beforeLines="10" w:afterLines="10" w:line="259" w:lineRule="auto"/>
      <w:jc w:val="center"/>
    </w:pPr>
    <w:rPr>
      <w:rFonts w:ascii="宋体"/>
      <w:kern w:val="0"/>
      <w:szCs w:val="20"/>
    </w:rPr>
  </w:style>
  <w:style w:type="character" w:customStyle="1" w:styleId="59">
    <w:name w:val="fontstyle01"/>
    <w:autoRedefine/>
    <w:qFormat/>
    <w:uiPriority w:val="0"/>
    <w:rPr>
      <w:rFonts w:hint="eastAsia" w:ascii="宋体" w:hAnsi="宋体" w:eastAsia="宋体"/>
      <w:color w:val="000000"/>
      <w:sz w:val="24"/>
      <w:szCs w:val="24"/>
    </w:rPr>
  </w:style>
  <w:style w:type="character" w:customStyle="1" w:styleId="60">
    <w:name w:val="日期 字符"/>
    <w:autoRedefine/>
    <w:qFormat/>
    <w:uiPriority w:val="0"/>
    <w:rPr>
      <w:rFonts w:ascii="Times New Roman" w:hAnsi="Times New Roman" w:eastAsia="宋体"/>
      <w:sz w:val="24"/>
    </w:rPr>
  </w:style>
  <w:style w:type="character" w:customStyle="1" w:styleId="61">
    <w:name w:val="正文文本 字符1"/>
    <w:autoRedefine/>
    <w:qFormat/>
    <w:uiPriority w:val="0"/>
    <w:rPr>
      <w:rFonts w:ascii="Times New Roman" w:hAnsi="Times New Roman" w:eastAsia="宋体"/>
      <w:sz w:val="24"/>
    </w:rPr>
  </w:style>
  <w:style w:type="paragraph" w:customStyle="1" w:styleId="62">
    <w:name w:val="正本文字"/>
    <w:basedOn w:val="1"/>
    <w:autoRedefine/>
    <w:qFormat/>
    <w:uiPriority w:val="0"/>
    <w:pPr>
      <w:adjustRightInd w:val="0"/>
      <w:snapToGrid w:val="0"/>
      <w:spacing w:line="360" w:lineRule="auto"/>
      <w:ind w:firstLine="200" w:firstLineChars="200"/>
      <w:jc w:val="left"/>
    </w:pPr>
    <w:rPr>
      <w:rFonts w:cs="宋体"/>
      <w:kern w:val="18"/>
      <w:sz w:val="24"/>
      <w:szCs w:val="20"/>
    </w:rPr>
  </w:style>
  <w:style w:type="paragraph" w:customStyle="1" w:styleId="63">
    <w:name w:val="样式 标题 2"/>
    <w:basedOn w:val="5"/>
    <w:autoRedefine/>
    <w:qFormat/>
    <w:uiPriority w:val="0"/>
    <w:pPr>
      <w:spacing w:before="50" w:after="50"/>
    </w:pPr>
    <w:rPr>
      <w:szCs w:val="28"/>
    </w:rPr>
  </w:style>
  <w:style w:type="paragraph" w:customStyle="1" w:styleId="6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65">
    <w:name w:val="正文(邵)"/>
    <w:basedOn w:val="1"/>
    <w:link w:val="66"/>
    <w:autoRedefine/>
    <w:qFormat/>
    <w:uiPriority w:val="0"/>
    <w:pPr>
      <w:adjustRightInd w:val="0"/>
      <w:snapToGrid w:val="0"/>
      <w:spacing w:line="360" w:lineRule="auto"/>
      <w:ind w:firstLine="480"/>
    </w:pPr>
    <w:rPr>
      <w:kern w:val="0"/>
      <w:sz w:val="24"/>
      <w:lang w:bidi="en-US"/>
    </w:rPr>
  </w:style>
  <w:style w:type="character" w:customStyle="1" w:styleId="66">
    <w:name w:val="正文(邵) Char"/>
    <w:link w:val="65"/>
    <w:autoRedefine/>
    <w:qFormat/>
    <w:uiPriority w:val="0"/>
    <w:rPr>
      <w:sz w:val="24"/>
      <w:szCs w:val="24"/>
      <w:lang w:bidi="en-US"/>
    </w:rPr>
  </w:style>
  <w:style w:type="paragraph" w:customStyle="1" w:styleId="67">
    <w:name w:val="00正文"/>
    <w:basedOn w:val="1"/>
    <w:autoRedefine/>
    <w:qFormat/>
    <w:uiPriority w:val="0"/>
    <w:pPr>
      <w:autoSpaceDE w:val="0"/>
      <w:autoSpaceDN w:val="0"/>
      <w:adjustRightInd w:val="0"/>
      <w:snapToGrid w:val="0"/>
      <w:spacing w:line="360" w:lineRule="auto"/>
      <w:ind w:firstLine="480" w:firstLineChars="200"/>
    </w:pPr>
    <w:rPr>
      <w:sz w:val="24"/>
    </w:rPr>
  </w:style>
  <w:style w:type="paragraph" w:customStyle="1" w:styleId="6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表格1"/>
    <w:basedOn w:val="1"/>
    <w:autoRedefine/>
    <w:qFormat/>
    <w:uiPriority w:val="0"/>
    <w:pPr>
      <w:jc w:val="center"/>
    </w:pPr>
  </w:style>
  <w:style w:type="paragraph" w:customStyle="1" w:styleId="70">
    <w:name w:val="正文文本 21"/>
    <w:basedOn w:val="1"/>
    <w:autoRedefine/>
    <w:qFormat/>
    <w:uiPriority w:val="0"/>
    <w:pPr>
      <w:adjustRightInd w:val="0"/>
      <w:jc w:val="center"/>
      <w:textAlignment w:val="baseline"/>
    </w:pPr>
    <w:rPr>
      <w:sz w:val="24"/>
      <w:szCs w:val="20"/>
    </w:rPr>
  </w:style>
  <w:style w:type="paragraph" w:customStyle="1" w:styleId="71">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2">
    <w:name w:val="00表头"/>
    <w:basedOn w:val="1"/>
    <w:autoRedefine/>
    <w:qFormat/>
    <w:uiPriority w:val="0"/>
    <w:pPr>
      <w:spacing w:before="120" w:beforeLines="50"/>
      <w:jc w:val="center"/>
    </w:pPr>
    <w:rPr>
      <w:rFonts w:hAnsi="宋体"/>
      <w:b/>
      <w:sz w:val="24"/>
      <w:szCs w:val="20"/>
    </w:rPr>
  </w:style>
  <w:style w:type="paragraph" w:customStyle="1" w:styleId="73">
    <w:name w:val="D表内1磅"/>
    <w:basedOn w:val="1"/>
    <w:autoRedefine/>
    <w:qFormat/>
    <w:uiPriority w:val="0"/>
    <w:pPr>
      <w:spacing w:before="20" w:after="20"/>
      <w:jc w:val="center"/>
    </w:pPr>
    <w:rPr>
      <w:szCs w:val="21"/>
    </w:rPr>
  </w:style>
  <w:style w:type="paragraph" w:customStyle="1" w:styleId="74">
    <w:name w:val="表格文字"/>
    <w:basedOn w:val="75"/>
    <w:next w:val="1"/>
    <w:autoRedefine/>
    <w:qFormat/>
    <w:uiPriority w:val="0"/>
    <w:pPr>
      <w:jc w:val="center"/>
    </w:pPr>
  </w:style>
  <w:style w:type="paragraph" w:customStyle="1" w:styleId="75">
    <w:name w:val="正文格式"/>
    <w:basedOn w:val="1"/>
    <w:autoRedefine/>
    <w:qFormat/>
    <w:uiPriority w:val="0"/>
    <w:pPr>
      <w:jc w:val="left"/>
    </w:pPr>
    <w:rPr>
      <w:rFonts w:eastAsia="仿宋"/>
      <w:kern w:val="0"/>
      <w:szCs w:val="20"/>
    </w:rPr>
  </w:style>
  <w:style w:type="paragraph" w:customStyle="1" w:styleId="76">
    <w:name w:val="正文首行缩进1"/>
    <w:basedOn w:val="14"/>
    <w:autoRedefine/>
    <w:qFormat/>
    <w:uiPriority w:val="99"/>
    <w:pPr>
      <w:spacing w:after="120"/>
      <w:ind w:firstLine="420" w:firstLineChars="100"/>
    </w:pPr>
    <w:rPr>
      <w:sz w:val="21"/>
    </w:rPr>
  </w:style>
  <w:style w:type="paragraph" w:customStyle="1" w:styleId="77">
    <w:name w:val="Table Paragraph"/>
    <w:basedOn w:val="1"/>
    <w:autoRedefine/>
    <w:qFormat/>
    <w:uiPriority w:val="1"/>
    <w:pPr>
      <w:autoSpaceDE w:val="0"/>
      <w:autoSpaceDN w:val="0"/>
      <w:jc w:val="center"/>
    </w:pPr>
    <w:rPr>
      <w:rFonts w:eastAsia="Times New Roman"/>
      <w:kern w:val="0"/>
      <w:sz w:val="22"/>
      <w:szCs w:val="22"/>
      <w:lang w:eastAsia="en-US"/>
    </w:rPr>
  </w:style>
  <w:style w:type="paragraph" w:customStyle="1" w:styleId="78">
    <w:name w:val="Char Char Char"/>
    <w:basedOn w:val="1"/>
    <w:autoRedefine/>
    <w:qFormat/>
    <w:uiPriority w:val="0"/>
    <w:rPr>
      <w:szCs w:val="20"/>
    </w:rPr>
  </w:style>
  <w:style w:type="paragraph" w:customStyle="1" w:styleId="79">
    <w:name w:val="_Style 2"/>
    <w:basedOn w:val="4"/>
    <w:next w:val="1"/>
    <w:autoRedefine/>
    <w:qFormat/>
    <w:uiPriority w:val="39"/>
    <w:pPr>
      <w:keepLines/>
      <w:spacing w:before="480" w:line="276" w:lineRule="auto"/>
      <w:ind w:firstLine="0"/>
      <w:outlineLvl w:val="9"/>
    </w:pPr>
    <w:rPr>
      <w:rFonts w:ascii="Cambria" w:hAnsi="Cambria"/>
      <w:color w:val="365F91"/>
      <w:kern w:val="0"/>
    </w:rPr>
  </w:style>
  <w:style w:type="paragraph" w:customStyle="1" w:styleId="80">
    <w:name w:val="样式 行距: 1.5 倍行距"/>
    <w:basedOn w:val="1"/>
    <w:autoRedefine/>
    <w:qFormat/>
    <w:uiPriority w:val="0"/>
    <w:pPr>
      <w:autoSpaceDE w:val="0"/>
      <w:autoSpaceDN w:val="0"/>
      <w:jc w:val="left"/>
      <w:textAlignment w:val="baseline"/>
    </w:pPr>
    <w:rPr>
      <w:snapToGrid w:val="0"/>
      <w:kern w:val="0"/>
      <w:szCs w:val="20"/>
    </w:rPr>
  </w:style>
  <w:style w:type="paragraph" w:customStyle="1" w:styleId="81">
    <w:name w:val="D表0"/>
    <w:basedOn w:val="1"/>
    <w:autoRedefine/>
    <w:qFormat/>
    <w:uiPriority w:val="0"/>
    <w:pPr>
      <w:jc w:val="center"/>
    </w:pPr>
    <w:rPr>
      <w:szCs w:val="21"/>
    </w:rPr>
  </w:style>
  <w:style w:type="paragraph" w:customStyle="1" w:styleId="82">
    <w:name w:val="表后文字"/>
    <w:next w:val="1"/>
    <w:autoRedefine/>
    <w:qFormat/>
    <w:uiPriority w:val="0"/>
    <w:pPr>
      <w:ind w:firstLine="493"/>
    </w:pPr>
    <w:rPr>
      <w:rFonts w:ascii="宋体" w:hAnsi="Times New Roman" w:eastAsia="宋体" w:cs="Times New Roman"/>
      <w:spacing w:val="4"/>
      <w:w w:val="80"/>
      <w:kern w:val="18"/>
      <w:sz w:val="24"/>
      <w:szCs w:val="24"/>
      <w:lang w:val="en-US" w:eastAsia="zh-CN" w:bidi="ar-SA"/>
    </w:rPr>
  </w:style>
  <w:style w:type="paragraph" w:customStyle="1" w:styleId="83">
    <w:name w:val="图表(邵)"/>
    <w:basedOn w:val="1"/>
    <w:autoRedefine/>
    <w:qFormat/>
    <w:uiPriority w:val="0"/>
    <w:pPr>
      <w:widowControl/>
      <w:adjustRightInd w:val="0"/>
      <w:spacing w:line="360" w:lineRule="auto"/>
      <w:jc w:val="center"/>
    </w:pPr>
    <w:rPr>
      <w:b/>
      <w:kern w:val="0"/>
      <w:sz w:val="24"/>
      <w:lang w:bidi="en-US"/>
    </w:rPr>
  </w:style>
  <w:style w:type="character" w:customStyle="1" w:styleId="84">
    <w:name w:val="fontstyle21"/>
    <w:autoRedefine/>
    <w:qFormat/>
    <w:uiPriority w:val="0"/>
    <w:rPr>
      <w:rFonts w:hint="default" w:ascii="TimesNewRomanPS-BoldMT" w:hAnsi="TimesNewRomanPS-BoldMT"/>
      <w:b/>
      <w:bCs/>
      <w:color w:val="000000"/>
      <w:sz w:val="22"/>
      <w:szCs w:val="22"/>
    </w:rPr>
  </w:style>
  <w:style w:type="character" w:customStyle="1" w:styleId="85">
    <w:name w:val="纯文本 Char1"/>
    <w:autoRedefine/>
    <w:qFormat/>
    <w:uiPriority w:val="0"/>
    <w:rPr>
      <w:rFonts w:ascii="Courier New" w:hAnsi="Courier New"/>
      <w:kern w:val="2"/>
      <w:sz w:val="21"/>
    </w:rPr>
  </w:style>
  <w:style w:type="character" w:customStyle="1" w:styleId="86">
    <w:name w:val="fontstyle11"/>
    <w:autoRedefine/>
    <w:qFormat/>
    <w:uiPriority w:val="0"/>
    <w:rPr>
      <w:rFonts w:hint="default" w:ascii="TimesNewRomanPSMT" w:hAnsi="TimesNewRomanPSMT"/>
      <w:color w:val="000000"/>
      <w:sz w:val="24"/>
      <w:szCs w:val="24"/>
    </w:rPr>
  </w:style>
  <w:style w:type="paragraph" w:styleId="87">
    <w:name w:val="List Paragraph"/>
    <w:basedOn w:val="1"/>
    <w:autoRedefine/>
    <w:qFormat/>
    <w:uiPriority w:val="0"/>
    <w:pPr>
      <w:ind w:firstLine="420" w:firstLineChars="200"/>
    </w:pPr>
    <w:rPr>
      <w:rFonts w:ascii="Calibri" w:hAnsi="Calibri" w:cs="黑体"/>
    </w:rPr>
  </w:style>
  <w:style w:type="paragraph" w:customStyle="1" w:styleId="88">
    <w:name w:val="Default1"/>
    <w:autoRedefine/>
    <w:qFormat/>
    <w:uiPriority w:val="0"/>
    <w:pPr>
      <w:widowControl w:val="0"/>
      <w:autoSpaceDE w:val="0"/>
      <w:autoSpaceDN w:val="0"/>
      <w:adjustRightInd w:val="0"/>
      <w:spacing w:line="360" w:lineRule="auto"/>
    </w:pPr>
    <w:rPr>
      <w:rFonts w:ascii="Times New Roman" w:hAnsi="Times New Roman" w:eastAsia="宋体" w:cs="宋体"/>
      <w:color w:val="000000"/>
      <w:sz w:val="21"/>
      <w:szCs w:val="24"/>
      <w:lang w:val="en-US" w:eastAsia="zh-CN" w:bidi="ar-SA"/>
    </w:rPr>
  </w:style>
  <w:style w:type="paragraph" w:customStyle="1" w:styleId="89">
    <w:name w:val="表题"/>
    <w:basedOn w:val="1"/>
    <w:link w:val="90"/>
    <w:autoRedefine/>
    <w:qFormat/>
    <w:uiPriority w:val="0"/>
    <w:pPr>
      <w:numPr>
        <w:ilvl w:val="0"/>
        <w:numId w:val="3"/>
      </w:numPr>
      <w:ind w:firstLine="0"/>
      <w:jc w:val="center"/>
    </w:pPr>
    <w:rPr>
      <w:rFonts w:eastAsia="Times New Roman"/>
      <w:b/>
    </w:rPr>
  </w:style>
  <w:style w:type="character" w:customStyle="1" w:styleId="90">
    <w:name w:val="表题 Char"/>
    <w:link w:val="89"/>
    <w:autoRedefine/>
    <w:qFormat/>
    <w:uiPriority w:val="0"/>
    <w:rPr>
      <w:rFonts w:eastAsia="Times New Roman"/>
      <w:b/>
      <w:kern w:val="2"/>
      <w:sz w:val="21"/>
      <w:szCs w:val="24"/>
    </w:rPr>
  </w:style>
  <w:style w:type="paragraph" w:customStyle="1" w:styleId="91">
    <w:name w:val="样式 (符号) 宋体 小四 行距: 1.5 倍行距"/>
    <w:basedOn w:val="1"/>
    <w:autoRedefine/>
    <w:qFormat/>
    <w:uiPriority w:val="0"/>
    <w:pPr>
      <w:spacing w:line="360" w:lineRule="auto"/>
      <w:ind w:firstLine="480" w:firstLineChars="200"/>
    </w:pPr>
    <w:rPr>
      <w:rFonts w:ascii="Calibri" w:hAnsi="宋体" w:cs="宋体"/>
      <w:sz w:val="24"/>
      <w:szCs w:val="21"/>
    </w:rPr>
  </w:style>
  <w:style w:type="paragraph" w:customStyle="1" w:styleId="92">
    <w:name w:val="表格题注"/>
    <w:autoRedefine/>
    <w:qFormat/>
    <w:uiPriority w:val="0"/>
    <w:pPr>
      <w:jc w:val="center"/>
    </w:pPr>
    <w:rPr>
      <w:rFonts w:ascii="Calibri" w:hAnsi="Calibri" w:eastAsia="宋体" w:cs="Times New Roman"/>
      <w:b/>
      <w:sz w:val="21"/>
      <w:szCs w:val="22"/>
      <w:lang w:val="en-US" w:eastAsia="zh-CN" w:bidi="ar-SA"/>
    </w:rPr>
  </w:style>
  <w:style w:type="paragraph" w:customStyle="1" w:styleId="93">
    <w:name w:val="环评表格正文"/>
    <w:basedOn w:val="1"/>
    <w:next w:val="1"/>
    <w:autoRedefine/>
    <w:qFormat/>
    <w:uiPriority w:val="0"/>
    <w:pPr>
      <w:jc w:val="center"/>
    </w:pPr>
    <w:rPr>
      <w:rFonts w:ascii="Calibri" w:hAnsi="Calibri"/>
      <w:kern w:val="0"/>
      <w:szCs w:val="21"/>
    </w:rPr>
  </w:style>
  <w:style w:type="character" w:customStyle="1" w:styleId="94">
    <w:name w:val="标题 2 字符"/>
    <w:autoRedefine/>
    <w:qFormat/>
    <w:uiPriority w:val="99"/>
    <w:rPr>
      <w:rFonts w:hint="default" w:ascii="Times New Roman" w:hAnsi="Times New Roman" w:eastAsia="黑体" w:cs="Times New Roman"/>
      <w:b/>
      <w:bCs/>
      <w:sz w:val="28"/>
      <w:szCs w:val="32"/>
    </w:rPr>
  </w:style>
  <w:style w:type="character" w:customStyle="1" w:styleId="95">
    <w:name w:val="正文修改 Char"/>
    <w:link w:val="96"/>
    <w:autoRedefine/>
    <w:qFormat/>
    <w:uiPriority w:val="0"/>
    <w:rPr>
      <w:rFonts w:ascii="宋体" w:hAnsi="宋体" w:cs="宋体"/>
      <w:sz w:val="24"/>
    </w:rPr>
  </w:style>
  <w:style w:type="paragraph" w:customStyle="1" w:styleId="96">
    <w:name w:val="正文修改"/>
    <w:basedOn w:val="1"/>
    <w:link w:val="95"/>
    <w:autoRedefine/>
    <w:qFormat/>
    <w:uiPriority w:val="0"/>
    <w:pPr>
      <w:spacing w:line="360" w:lineRule="auto"/>
      <w:ind w:firstLine="200" w:firstLineChars="200"/>
    </w:pPr>
    <w:rPr>
      <w:rFonts w:ascii="宋体" w:hAnsi="宋体"/>
      <w:kern w:val="0"/>
      <w:sz w:val="24"/>
      <w:szCs w:val="20"/>
    </w:rPr>
  </w:style>
  <w:style w:type="character" w:customStyle="1" w:styleId="97">
    <w:name w:val="正文缩进 Char1"/>
    <w:link w:val="98"/>
    <w:autoRedefine/>
    <w:qFormat/>
    <w:uiPriority w:val="0"/>
    <w:rPr>
      <w:rFonts w:ascii="Arial" w:hAnsi="Arial" w:eastAsia="仿宋_GB2312" w:cs="Arial"/>
      <w:color w:val="000000"/>
      <w:kern w:val="2"/>
      <w:sz w:val="28"/>
      <w:szCs w:val="28"/>
    </w:rPr>
  </w:style>
  <w:style w:type="paragraph" w:customStyle="1" w:styleId="98">
    <w:name w:val="图表标题"/>
    <w:basedOn w:val="1"/>
    <w:next w:val="1"/>
    <w:link w:val="97"/>
    <w:autoRedefine/>
    <w:qFormat/>
    <w:uiPriority w:val="0"/>
    <w:pPr>
      <w:widowControl/>
      <w:jc w:val="center"/>
    </w:pPr>
    <w:rPr>
      <w:rFonts w:ascii="Arial" w:hAnsi="Arial" w:eastAsia="仿宋_GB2312"/>
      <w:color w:val="000000"/>
      <w:sz w:val="28"/>
      <w:szCs w:val="28"/>
    </w:rPr>
  </w:style>
  <w:style w:type="character" w:customStyle="1" w:styleId="99">
    <w:name w:val="D正文 Char"/>
    <w:link w:val="100"/>
    <w:autoRedefine/>
    <w:qFormat/>
    <w:uiPriority w:val="0"/>
    <w:rPr>
      <w:rFonts w:ascii="宋体" w:hAnsi="宋体" w:cs="宋体"/>
      <w:kern w:val="2"/>
      <w:sz w:val="24"/>
      <w:szCs w:val="24"/>
    </w:rPr>
  </w:style>
  <w:style w:type="paragraph" w:customStyle="1" w:styleId="100">
    <w:name w:val="D正文"/>
    <w:basedOn w:val="1"/>
    <w:link w:val="99"/>
    <w:autoRedefine/>
    <w:qFormat/>
    <w:uiPriority w:val="0"/>
    <w:pPr>
      <w:ind w:firstLine="200" w:firstLineChars="200"/>
    </w:pPr>
    <w:rPr>
      <w:rFonts w:ascii="宋体" w:hAnsi="宋体"/>
      <w:sz w:val="24"/>
    </w:rPr>
  </w:style>
  <w:style w:type="paragraph" w:customStyle="1" w:styleId="101">
    <w:name w:val="Default2"/>
    <w:autoRedefine/>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character" w:customStyle="1" w:styleId="102">
    <w:name w:val="表格文字 Char Char"/>
    <w:autoRedefine/>
    <w:qFormat/>
    <w:uiPriority w:val="0"/>
    <w:rPr>
      <w:rFonts w:eastAsia="宋体"/>
      <w:kern w:val="2"/>
      <w:sz w:val="21"/>
      <w:szCs w:val="18"/>
      <w:lang w:val="en-US" w:eastAsia="zh-CN" w:bidi="ar-SA"/>
    </w:rPr>
  </w:style>
  <w:style w:type="paragraph" w:customStyle="1" w:styleId="103">
    <w:name w:val="表格文字啊啊"/>
    <w:basedOn w:val="74"/>
    <w:autoRedefine/>
    <w:qFormat/>
    <w:uiPriority w:val="0"/>
    <w:pPr>
      <w:tabs>
        <w:tab w:val="left" w:pos="1960"/>
      </w:tabs>
    </w:pPr>
  </w:style>
  <w:style w:type="paragraph" w:customStyle="1" w:styleId="104">
    <w:name w:val="样式 正文文本缩进 + 行距: 1.5 倍行距"/>
    <w:basedOn w:val="16"/>
    <w:autoRedefine/>
    <w:qFormat/>
    <w:uiPriority w:val="0"/>
    <w:pPr>
      <w:spacing w:after="120" w:line="360" w:lineRule="auto"/>
      <w:ind w:left="90" w:leftChars="32" w:firstLine="560" w:firstLineChars="200"/>
    </w:pPr>
    <w:rPr>
      <w:rFonts w:cs="宋体"/>
    </w:rPr>
  </w:style>
  <w:style w:type="character" w:customStyle="1" w:styleId="105">
    <w:name w:val="标题 1 Char"/>
    <w:link w:val="4"/>
    <w:autoRedefine/>
    <w:qFormat/>
    <w:uiPriority w:val="0"/>
    <w:rPr>
      <w:rFonts w:eastAsia="黑体"/>
      <w:b/>
      <w:bCs/>
      <w:color w:val="000000"/>
      <w:kern w:val="44"/>
      <w:sz w:val="30"/>
      <w:szCs w:val="30"/>
    </w:rPr>
  </w:style>
  <w:style w:type="character" w:customStyle="1" w:styleId="106">
    <w:name w:val="标题 2 Char"/>
    <w:link w:val="5"/>
    <w:autoRedefine/>
    <w:qFormat/>
    <w:uiPriority w:val="0"/>
    <w:rPr>
      <w:rFonts w:ascii="Arial" w:hAnsi="Arial" w:eastAsia="黑体"/>
      <w:b/>
      <w:bCs/>
      <w:sz w:val="32"/>
      <w:szCs w:val="32"/>
    </w:rPr>
  </w:style>
  <w:style w:type="paragraph" w:customStyle="1" w:styleId="107">
    <w:name w:val="A表头"/>
    <w:basedOn w:val="1"/>
    <w:next w:val="1"/>
    <w:autoRedefine/>
    <w:qFormat/>
    <w:uiPriority w:val="0"/>
    <w:pPr>
      <w:ind w:firstLine="0" w:firstLineChars="0"/>
      <w:jc w:val="center"/>
    </w:pPr>
    <w:rPr>
      <w:rFonts w:cs="宋体"/>
      <w:b/>
      <w:szCs w:val="20"/>
    </w:rPr>
  </w:style>
  <w:style w:type="paragraph" w:customStyle="1" w:styleId="108">
    <w:name w:val="A表内"/>
    <w:basedOn w:val="1"/>
    <w:next w:val="1"/>
    <w:autoRedefine/>
    <w:qFormat/>
    <w:uiPriority w:val="0"/>
    <w:pPr>
      <w:spacing w:line="240" w:lineRule="auto"/>
      <w:ind w:firstLine="0" w:firstLineChars="0"/>
      <w:jc w:val="center"/>
    </w:pPr>
    <w:rPr>
      <w:rFonts w:cs="宋体"/>
      <w:sz w:val="21"/>
      <w:szCs w:val="20"/>
    </w:rPr>
  </w:style>
  <w:style w:type="paragraph" w:customStyle="1" w:styleId="109">
    <w:name w:val="文章正文样式"/>
    <w:basedOn w:val="1"/>
    <w:autoRedefine/>
    <w:qFormat/>
    <w:uiPriority w:val="0"/>
    <w:pPr>
      <w:spacing w:line="520" w:lineRule="exact"/>
      <w:ind w:firstLine="480"/>
      <w:jc w:val="left"/>
    </w:pPr>
    <w:rPr>
      <w:rFonts w:ascii="宋体" w:hAnsi="宋体" w:cs="宋体"/>
      <w:szCs w:val="20"/>
    </w:rPr>
  </w:style>
  <w:style w:type="table" w:customStyle="1" w:styleId="110">
    <w:name w:val="表格样式1"/>
    <w:basedOn w:val="33"/>
    <w:autoRedefine/>
    <w:qFormat/>
    <w:uiPriority w:val="0"/>
    <w:pPr>
      <w:jc w:val="center"/>
    </w:pPr>
    <w:rPr>
      <w:sz w:val="21"/>
    </w:rPr>
    <w:tblPr>
      <w:jc w:val="center"/>
      <w:tblBorders>
        <w:top w:val="single" w:color="auto" w:sz="12" w:space="0"/>
        <w:bottom w:val="single" w:color="auto" w:sz="12" w:space="0"/>
        <w:insideH w:val="single" w:color="auto" w:sz="6" w:space="0"/>
        <w:insideV w:val="single" w:color="auto" w:sz="6" w:space="0"/>
      </w:tblBorders>
      <w:tblCellMar>
        <w:top w:w="0" w:type="dxa"/>
        <w:left w:w="57" w:type="dxa"/>
        <w:bottom w:w="0" w:type="dxa"/>
        <w:right w:w="57" w:type="dxa"/>
      </w:tblCellMar>
    </w:tblPr>
    <w:trPr>
      <w:jc w:val="center"/>
    </w:trPr>
    <w:tcPr>
      <w:vAlign w:val="center"/>
    </w:tcPr>
  </w:style>
  <w:style w:type="paragraph" w:customStyle="1" w:styleId="111">
    <w:name w:val="5、正文"/>
    <w:basedOn w:val="17"/>
    <w:autoRedefine/>
    <w:qFormat/>
    <w:uiPriority w:val="0"/>
    <w:rPr>
      <w:rFonts w:hAnsi="Courier New"/>
      <w:szCs w:val="21"/>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报告正文"/>
    <w:basedOn w:val="1"/>
    <w:autoRedefine/>
    <w:qFormat/>
    <w:uiPriority w:val="0"/>
    <w:pPr>
      <w:spacing w:line="360" w:lineRule="auto"/>
      <w:ind w:firstLine="200" w:firstLineChars="200"/>
    </w:pPr>
    <w:rPr>
      <w:rFonts w:ascii="Times New Roman" w:hAnsi="Times New Roman"/>
      <w:sz w:val="24"/>
    </w:rPr>
  </w:style>
  <w:style w:type="paragraph" w:customStyle="1" w:styleId="114">
    <w:name w:val="正文LD"/>
    <w:basedOn w:val="1"/>
    <w:autoRedefine/>
    <w:qFormat/>
    <w:uiPriority w:val="0"/>
    <w:pPr>
      <w:tabs>
        <w:tab w:val="left" w:pos="0"/>
      </w:tabs>
      <w:spacing w:line="360" w:lineRule="auto"/>
      <w:ind w:firstLine="480" w:firstLineChars="200"/>
    </w:pPr>
    <w:rPr>
      <w:rFonts w:ascii="Century Gothic" w:hAnsi="Century Gothic"/>
      <w:szCs w:val="20"/>
    </w:rPr>
  </w:style>
  <w:style w:type="paragraph" w:customStyle="1" w:styleId="115">
    <w:name w:val="表头2"/>
    <w:basedOn w:val="1"/>
    <w:autoRedefine/>
    <w:qFormat/>
    <w:uiPriority w:val="0"/>
    <w:pPr>
      <w:spacing w:beforeLines="50" w:afterLines="50"/>
      <w:jc w:val="center"/>
    </w:pPr>
    <w:rPr>
      <w:b/>
      <w:bCs/>
      <w:kern w:val="0"/>
      <w:sz w:val="20"/>
      <w:szCs w:val="21"/>
    </w:rPr>
  </w:style>
  <w:style w:type="character" w:customStyle="1" w:styleId="116">
    <w:name w:val="font21"/>
    <w:basedOn w:val="35"/>
    <w:autoRedefine/>
    <w:qFormat/>
    <w:uiPriority w:val="0"/>
    <w:rPr>
      <w:rFonts w:hint="default" w:ascii="Arial" w:hAnsi="Arial" w:cs="Arial"/>
      <w:color w:val="000000"/>
      <w:sz w:val="24"/>
      <w:szCs w:val="24"/>
      <w:u w:val="none"/>
    </w:rPr>
  </w:style>
  <w:style w:type="character" w:customStyle="1" w:styleId="117">
    <w:name w:val="font11"/>
    <w:basedOn w:val="35"/>
    <w:autoRedefine/>
    <w:qFormat/>
    <w:uiPriority w:val="0"/>
    <w:rPr>
      <w:rFonts w:hint="eastAsia" w:ascii="宋体" w:hAnsi="宋体" w:eastAsia="宋体" w:cs="宋体"/>
      <w:color w:val="000000"/>
      <w:sz w:val="24"/>
      <w:szCs w:val="24"/>
      <w:u w:val="none"/>
    </w:rPr>
  </w:style>
  <w:style w:type="paragraph" w:customStyle="1" w:styleId="118">
    <w:name w:val="表头"/>
    <w:basedOn w:val="1"/>
    <w:autoRedefine/>
    <w:qFormat/>
    <w:uiPriority w:val="0"/>
    <w:pPr>
      <w:spacing w:line="240" w:lineRule="auto"/>
      <w:ind w:firstLine="0"/>
      <w:jc w:val="center"/>
    </w:pPr>
  </w:style>
  <w:style w:type="paragraph" w:customStyle="1" w:styleId="119">
    <w:name w:val="05F凡式正文"/>
    <w:basedOn w:val="1"/>
    <w:autoRedefine/>
    <w:qFormat/>
    <w:uiPriority w:val="0"/>
    <w:pPr>
      <w:spacing w:line="360" w:lineRule="auto"/>
      <w:ind w:firstLine="720" w:firstLineChars="200"/>
    </w:pPr>
    <w:rPr>
      <w:rFonts w:ascii="Times New Roman" w:hAnsi="Times New Roman" w:eastAsia="宋体"/>
      <w:sz w:val="24"/>
    </w:rPr>
  </w:style>
  <w:style w:type="paragraph" w:customStyle="1" w:styleId="120">
    <w:name w:val="11111"/>
    <w:basedOn w:val="1"/>
    <w:next w:val="1"/>
    <w:autoRedefine/>
    <w:qFormat/>
    <w:uiPriority w:val="0"/>
    <w:pPr>
      <w:spacing w:line="360" w:lineRule="auto"/>
      <w:ind w:firstLine="200" w:firstLineChars="200"/>
    </w:pPr>
    <w:rPr>
      <w:rFonts w:hAnsi="宋体" w:cs="宋体"/>
    </w:rPr>
  </w:style>
  <w:style w:type="paragraph" w:customStyle="1" w:styleId="121">
    <w:name w:val="yy正"/>
    <w:autoRedefine/>
    <w:qFormat/>
    <w:uiPriority w:val="0"/>
    <w:pPr>
      <w:jc w:val="both"/>
    </w:pPr>
    <w:rPr>
      <w:rFonts w:ascii="Times New Roman" w:hAnsi="Times New Roman" w:eastAsia="仿宋" w:cs="Times New Roman"/>
      <w:kern w:val="2"/>
      <w:sz w:val="24"/>
      <w:szCs w:val="22"/>
      <w:lang w:val="en-US" w:eastAsia="zh-CN" w:bidi="ar-SA"/>
    </w:rPr>
  </w:style>
  <w:style w:type="paragraph" w:customStyle="1" w:styleId="122">
    <w:name w:val="yy报告封标首"/>
    <w:autoRedefine/>
    <w:qFormat/>
    <w:uiPriority w:val="0"/>
    <w:pPr>
      <w:spacing w:line="360" w:lineRule="auto"/>
      <w:jc w:val="center"/>
    </w:pPr>
    <w:rPr>
      <w:rFonts w:ascii="Times New Roman" w:hAnsi="Times New Roman" w:eastAsia="楷体" w:cs="Times New Roman"/>
      <w:b/>
      <w:color w:val="000000" w:themeColor="text1"/>
      <w:kern w:val="2"/>
      <w:sz w:val="44"/>
      <w:szCs w:val="52"/>
      <w:lang w:val="en-US" w:eastAsia="zh-CN" w:bidi="ar-SA"/>
      <w14:textFill>
        <w14:solidFill>
          <w14:schemeClr w14:val="tx1"/>
        </w14:solidFill>
      </w14:textFill>
    </w:rPr>
  </w:style>
  <w:style w:type="paragraph" w:customStyle="1" w:styleId="123">
    <w:name w:val="yy报告封标中"/>
    <w:autoRedefine/>
    <w:qFormat/>
    <w:uiPriority w:val="0"/>
    <w:pPr>
      <w:spacing w:line="360" w:lineRule="auto"/>
      <w:jc w:val="center"/>
    </w:pPr>
    <w:rPr>
      <w:rFonts w:ascii="Times New Roman" w:hAnsi="Times New Roman" w:eastAsia="楷体" w:cs="Times New Roman"/>
      <w:b/>
      <w:color w:val="000000" w:themeColor="text1"/>
      <w:kern w:val="2"/>
      <w:sz w:val="72"/>
      <w:szCs w:val="52"/>
      <w:lang w:val="en-US" w:eastAsia="zh-CN" w:bidi="ar-SA"/>
      <w14:textFill>
        <w14:solidFill>
          <w14:schemeClr w14:val="tx1"/>
        </w14:solidFill>
      </w14:textFill>
    </w:rPr>
  </w:style>
  <w:style w:type="paragraph" w:customStyle="1" w:styleId="124">
    <w:name w:val="yy报告封标尾"/>
    <w:autoRedefine/>
    <w:qFormat/>
    <w:uiPriority w:val="0"/>
    <w:pPr>
      <w:tabs>
        <w:tab w:val="center" w:pos="4153"/>
        <w:tab w:val="right" w:pos="8306"/>
      </w:tabs>
      <w:snapToGrid w:val="0"/>
      <w:spacing w:line="360" w:lineRule="auto"/>
      <w:jc w:val="center"/>
    </w:pPr>
    <w:rPr>
      <w:rFonts w:ascii="Times New Roman" w:hAnsi="Times New Roman" w:eastAsia="楷体" w:cs="宋体"/>
      <w:b/>
      <w:color w:val="000000" w:themeColor="text1"/>
      <w:sz w:val="32"/>
      <w:szCs w:val="30"/>
      <w:lang w:val="en-US" w:eastAsia="zh-CN" w:bidi="ar-SA"/>
      <w14:textFill>
        <w14:solidFill>
          <w14:schemeClr w14:val="tx1"/>
        </w14:solidFill>
      </w14:textFill>
    </w:rPr>
  </w:style>
  <w:style w:type="table" w:customStyle="1" w:styleId="125">
    <w:name w:val="网格型8"/>
    <w:basedOn w:val="33"/>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WPSOffice手动目录 1"/>
    <w:autoRedefine/>
    <w:qFormat/>
    <w:uiPriority w:val="0"/>
    <w:pPr>
      <w:ind w:leftChars="0"/>
    </w:pPr>
    <w:rPr>
      <w:rFonts w:ascii="Times New Roman" w:hAnsi="Times New Roman" w:eastAsia="宋体" w:cs="Times New Roman"/>
      <w:sz w:val="20"/>
      <w:szCs w:val="20"/>
    </w:rPr>
  </w:style>
  <w:style w:type="paragraph" w:customStyle="1" w:styleId="127">
    <w:name w:val="WPSOffice手动目录 2"/>
    <w:autoRedefine/>
    <w:qFormat/>
    <w:uiPriority w:val="0"/>
    <w:pPr>
      <w:ind w:leftChars="200"/>
    </w:pPr>
    <w:rPr>
      <w:rFonts w:ascii="Times New Roman" w:hAnsi="Times New Roman" w:eastAsia="宋体" w:cs="Times New Roman"/>
      <w:sz w:val="20"/>
      <w:szCs w:val="20"/>
    </w:rPr>
  </w:style>
  <w:style w:type="paragraph" w:customStyle="1" w:styleId="128">
    <w:name w:val="WPSOffice手动目录 3"/>
    <w:autoRedefine/>
    <w:qFormat/>
    <w:uiPriority w:val="0"/>
    <w:pPr>
      <w:ind w:leftChars="400"/>
    </w:pPr>
    <w:rPr>
      <w:rFonts w:ascii="Times New Roman" w:hAnsi="Times New Roman" w:eastAsia="宋体" w:cs="Times New Roman"/>
      <w:sz w:val="20"/>
      <w:szCs w:val="20"/>
    </w:rPr>
  </w:style>
  <w:style w:type="paragraph" w:customStyle="1" w:styleId="129">
    <w:name w:val="yy报告正文"/>
    <w:autoRedefine/>
    <w:qFormat/>
    <w:uiPriority w:val="0"/>
    <w:pPr>
      <w:spacing w:line="360" w:lineRule="auto"/>
      <w:ind w:firstLine="200" w:firstLineChars="200"/>
      <w:jc w:val="both"/>
    </w:pPr>
    <w:rPr>
      <w:rFonts w:ascii="Times New Roman" w:hAnsi="Times New Roman" w:eastAsia="仿宋" w:cs="Times New Roman"/>
      <w:color w:val="000000" w:themeColor="text1"/>
      <w:kern w:val="2"/>
      <w:sz w:val="28"/>
      <w:szCs w:val="22"/>
      <w:lang w:val="en-US" w:eastAsia="zh-CN" w:bidi="ar-SA"/>
      <w14:textFill>
        <w14:solidFill>
          <w14:schemeClr w14:val="tx1"/>
        </w14:solidFill>
      </w14:textFill>
    </w:rPr>
  </w:style>
  <w:style w:type="paragraph" w:customStyle="1" w:styleId="130">
    <w:name w:val="yy报告图题"/>
    <w:next w:val="121"/>
    <w:autoRedefine/>
    <w:qFormat/>
    <w:uiPriority w:val="0"/>
    <w:pPr>
      <w:spacing w:line="360" w:lineRule="auto"/>
      <w:jc w:val="center"/>
      <w:outlineLvl w:val="3"/>
    </w:pPr>
    <w:rPr>
      <w:rFonts w:ascii="Times New Roman" w:hAnsi="Times New Roman" w:eastAsia="仿宋" w:cs="Times New Roman"/>
      <w:b/>
      <w:color w:val="000000" w:themeColor="text1"/>
      <w:kern w:val="2"/>
      <w:sz w:val="24"/>
      <w:szCs w:val="22"/>
      <w:lang w:val="en-US" w:eastAsia="zh-CN" w:bidi="ar-SA"/>
      <w14:textFill>
        <w14:solidFill>
          <w14:schemeClr w14:val="tx1"/>
        </w14:solidFill>
      </w14:textFill>
    </w:rPr>
  </w:style>
  <w:style w:type="paragraph" w:customStyle="1" w:styleId="131">
    <w:name w:val="yy报告表题"/>
    <w:next w:val="121"/>
    <w:autoRedefine/>
    <w:qFormat/>
    <w:uiPriority w:val="0"/>
    <w:pPr>
      <w:spacing w:line="360" w:lineRule="auto"/>
      <w:jc w:val="center"/>
      <w:outlineLvl w:val="3"/>
    </w:pPr>
    <w:rPr>
      <w:rFonts w:ascii="Times New Roman" w:hAnsi="Times New Roman" w:eastAsia="仿宋" w:cs="Times New Roman"/>
      <w:b/>
      <w:color w:val="000000" w:themeColor="text1"/>
      <w:kern w:val="2"/>
      <w:sz w:val="24"/>
      <w:szCs w:val="22"/>
      <w:lang w:val="en-US" w:eastAsia="zh-CN" w:bidi="ar-SA"/>
      <w14:textFill>
        <w14:solidFill>
          <w14:schemeClr w14:val="tx1"/>
        </w14:solidFill>
      </w14:textFill>
    </w:rPr>
  </w:style>
  <w:style w:type="paragraph" w:customStyle="1" w:styleId="132">
    <w:name w:val="yy报告表首"/>
    <w:next w:val="121"/>
    <w:autoRedefine/>
    <w:qFormat/>
    <w:uiPriority w:val="0"/>
    <w:pPr>
      <w:jc w:val="center"/>
    </w:pPr>
    <w:rPr>
      <w:rFonts w:ascii="Times New Roman" w:hAnsi="Times New Roman" w:eastAsia="仿宋" w:cs="Times New Roman"/>
      <w:b/>
      <w:color w:val="000000" w:themeColor="text1"/>
      <w:kern w:val="2"/>
      <w:sz w:val="24"/>
      <w:szCs w:val="22"/>
      <w:lang w:val="en-US" w:eastAsia="zh-CN" w:bidi="ar-SA"/>
      <w14:textFill>
        <w14:solidFill>
          <w14:schemeClr w14:val="tx1"/>
        </w14:solidFill>
      </w14:textFill>
    </w:rPr>
  </w:style>
  <w:style w:type="paragraph" w:customStyle="1" w:styleId="133">
    <w:name w:val="yy报告表中"/>
    <w:basedOn w:val="132"/>
    <w:autoRedefine/>
    <w:qFormat/>
    <w:uiPriority w:val="0"/>
    <w:rPr>
      <w:b w:val="0"/>
    </w:rPr>
  </w:style>
  <w:style w:type="character" w:customStyle="1" w:styleId="134">
    <w:name w:val="明显强调1"/>
    <w:basedOn w:val="35"/>
    <w:autoRedefine/>
    <w:qFormat/>
    <w:uiPriority w:val="21"/>
    <w:rPr>
      <w:i/>
      <w:iCs/>
      <w:color w:val="4F81BD" w:themeColor="accent1"/>
      <w14:textFill>
        <w14:solidFill>
          <w14:schemeClr w14:val="accent1"/>
        </w14:solidFill>
      </w14:textFill>
    </w:rPr>
  </w:style>
  <w:style w:type="character" w:customStyle="1" w:styleId="135">
    <w:name w:val="15"/>
    <w:basedOn w:val="35"/>
    <w:autoRedefine/>
    <w:qFormat/>
    <w:uiPriority w:val="0"/>
    <w:rPr>
      <w:rFonts w:hint="eastAsia" w:ascii="等线" w:hAnsi="等线" w:eastAsia="等线"/>
      <w:i/>
      <w:iCs/>
      <w:color w:val="4472C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customXml" Target="../customXml/item27.xml"/><Relationship Id="rId6" Type="http://schemas.openxmlformats.org/officeDocument/2006/relationships/footer" Target="footer4.xml"/><Relationship Id="rId59" Type="http://schemas.openxmlformats.org/officeDocument/2006/relationships/customXml" Target="../customXml/item26.xml"/><Relationship Id="rId58" Type="http://schemas.openxmlformats.org/officeDocument/2006/relationships/customXml" Target="../customXml/item25.xml"/><Relationship Id="rId57" Type="http://schemas.openxmlformats.org/officeDocument/2006/relationships/customXml" Target="../customXml/item24.xml"/><Relationship Id="rId56" Type="http://schemas.openxmlformats.org/officeDocument/2006/relationships/customXml" Target="../customXml/item23.xml"/><Relationship Id="rId55" Type="http://schemas.openxmlformats.org/officeDocument/2006/relationships/customXml" Target="../customXml/item22.xml"/><Relationship Id="rId54" Type="http://schemas.openxmlformats.org/officeDocument/2006/relationships/customXml" Target="../customXml/item21.xml"/><Relationship Id="rId53" Type="http://schemas.openxmlformats.org/officeDocument/2006/relationships/customXml" Target="../customXml/item20.xml"/><Relationship Id="rId52" Type="http://schemas.openxmlformats.org/officeDocument/2006/relationships/customXml" Target="../customXml/item19.xml"/><Relationship Id="rId51" Type="http://schemas.openxmlformats.org/officeDocument/2006/relationships/customXml" Target="../customXml/item18.xml"/><Relationship Id="rId50" Type="http://schemas.openxmlformats.org/officeDocument/2006/relationships/customXml" Target="../customXml/item17.xml"/><Relationship Id="rId5" Type="http://schemas.openxmlformats.org/officeDocument/2006/relationships/footer" Target="footer3.xml"/><Relationship Id="rId49" Type="http://schemas.openxmlformats.org/officeDocument/2006/relationships/customXml" Target="../customXml/item16.xml"/><Relationship Id="rId48" Type="http://schemas.openxmlformats.org/officeDocument/2006/relationships/customXml" Target="../customXml/item15.xml"/><Relationship Id="rId47" Type="http://schemas.openxmlformats.org/officeDocument/2006/relationships/customXml" Target="../customXml/item14.xml"/><Relationship Id="rId46" Type="http://schemas.openxmlformats.org/officeDocument/2006/relationships/customXml" Target="../customXml/item13.xml"/><Relationship Id="rId45" Type="http://schemas.openxmlformats.org/officeDocument/2006/relationships/customXml" Target="../customXml/item12.xml"/><Relationship Id="rId44" Type="http://schemas.openxmlformats.org/officeDocument/2006/relationships/customXml" Target="../customXml/item11.xml"/><Relationship Id="rId43" Type="http://schemas.openxmlformats.org/officeDocument/2006/relationships/customXml" Target="../customXml/item10.xml"/><Relationship Id="rId42" Type="http://schemas.openxmlformats.org/officeDocument/2006/relationships/customXml" Target="../customXml/item9.xml"/><Relationship Id="rId41" Type="http://schemas.openxmlformats.org/officeDocument/2006/relationships/customXml" Target="../customXml/item8.xml"/><Relationship Id="rId40" Type="http://schemas.openxmlformats.org/officeDocument/2006/relationships/customXml" Target="../customXml/item7.xml"/><Relationship Id="rId4" Type="http://schemas.openxmlformats.org/officeDocument/2006/relationships/footer" Target="footer2.xml"/><Relationship Id="rId39" Type="http://schemas.openxmlformats.org/officeDocument/2006/relationships/customXml" Target="../customXml/item6.xml"/><Relationship Id="rId38" Type="http://schemas.openxmlformats.org/officeDocument/2006/relationships/customXml" Target="../customXml/item5.xml"/><Relationship Id="rId37" Type="http://schemas.openxmlformats.org/officeDocument/2006/relationships/customXml" Target="../customXml/item4.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7.wmf"/><Relationship Id="rId27" Type="http://schemas.openxmlformats.org/officeDocument/2006/relationships/oleObject" Target="embeddings/oleObject1.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fdbf4f90-7562-4383-8847-8d87f2a1d3ff}">
  <ds:schemaRefs/>
</ds:datastoreItem>
</file>

<file path=customXml/itemProps11.xml><?xml version="1.0" encoding="utf-8"?>
<ds:datastoreItem xmlns:ds="http://schemas.openxmlformats.org/officeDocument/2006/customXml" ds:itemID="{9715704a-0c0d-44c7-a940-747039b175fc}">
  <ds:schemaRefs/>
</ds:datastoreItem>
</file>

<file path=customXml/itemProps12.xml><?xml version="1.0" encoding="utf-8"?>
<ds:datastoreItem xmlns:ds="http://schemas.openxmlformats.org/officeDocument/2006/customXml" ds:itemID="{5575202c-ece9-47e0-8b07-1fee8ef4e5b3}">
  <ds:schemaRefs/>
</ds:datastoreItem>
</file>

<file path=customXml/itemProps13.xml><?xml version="1.0" encoding="utf-8"?>
<ds:datastoreItem xmlns:ds="http://schemas.openxmlformats.org/officeDocument/2006/customXml" ds:itemID="{33d02237-98e8-4036-a155-823507bf27b0}">
  <ds:schemaRefs/>
</ds:datastoreItem>
</file>

<file path=customXml/itemProps14.xml><?xml version="1.0" encoding="utf-8"?>
<ds:datastoreItem xmlns:ds="http://schemas.openxmlformats.org/officeDocument/2006/customXml" ds:itemID="{fa21a810-9a32-4407-b40e-a3dc01cf553f}">
  <ds:schemaRefs/>
</ds:datastoreItem>
</file>

<file path=customXml/itemProps15.xml><?xml version="1.0" encoding="utf-8"?>
<ds:datastoreItem xmlns:ds="http://schemas.openxmlformats.org/officeDocument/2006/customXml" ds:itemID="{201b6bbb-385f-45b3-acb2-f1b14716dd27}">
  <ds:schemaRefs/>
</ds:datastoreItem>
</file>

<file path=customXml/itemProps16.xml><?xml version="1.0" encoding="utf-8"?>
<ds:datastoreItem xmlns:ds="http://schemas.openxmlformats.org/officeDocument/2006/customXml" ds:itemID="{a25de571-7e8c-4bba-bf10-cc7dd45b2730}">
  <ds:schemaRefs/>
</ds:datastoreItem>
</file>

<file path=customXml/itemProps17.xml><?xml version="1.0" encoding="utf-8"?>
<ds:datastoreItem xmlns:ds="http://schemas.openxmlformats.org/officeDocument/2006/customXml" ds:itemID="{b87be6ed-2245-49b2-8d2f-2965c41c4ce9}">
  <ds:schemaRefs/>
</ds:datastoreItem>
</file>

<file path=customXml/itemProps18.xml><?xml version="1.0" encoding="utf-8"?>
<ds:datastoreItem xmlns:ds="http://schemas.openxmlformats.org/officeDocument/2006/customXml" ds:itemID="{281cc29d-f5e4-499d-9d22-e32527b570a5}">
  <ds:schemaRefs/>
</ds:datastoreItem>
</file>

<file path=customXml/itemProps19.xml><?xml version="1.0" encoding="utf-8"?>
<ds:datastoreItem xmlns:ds="http://schemas.openxmlformats.org/officeDocument/2006/customXml" ds:itemID="{82950d41-2cf5-43fe-83a3-7266aadfa6d5}">
  <ds:schemaRefs/>
</ds:datastoreItem>
</file>

<file path=customXml/itemProps2.xml><?xml version="1.0" encoding="utf-8"?>
<ds:datastoreItem xmlns:ds="http://schemas.openxmlformats.org/officeDocument/2006/customXml" ds:itemID="{66a6f6ee-c460-499c-8ee3-72421e621652}">
  <ds:schemaRefs/>
</ds:datastoreItem>
</file>

<file path=customXml/itemProps20.xml><?xml version="1.0" encoding="utf-8"?>
<ds:datastoreItem xmlns:ds="http://schemas.openxmlformats.org/officeDocument/2006/customXml" ds:itemID="{b9206aa2-6bca-4334-bdf2-d42e1dce65f1}">
  <ds:schemaRefs/>
</ds:datastoreItem>
</file>

<file path=customXml/itemProps21.xml><?xml version="1.0" encoding="utf-8"?>
<ds:datastoreItem xmlns:ds="http://schemas.openxmlformats.org/officeDocument/2006/customXml" ds:itemID="{07c7b8ef-0b09-4e94-a0fb-253c848222a7}">
  <ds:schemaRefs/>
</ds:datastoreItem>
</file>

<file path=customXml/itemProps22.xml><?xml version="1.0" encoding="utf-8"?>
<ds:datastoreItem xmlns:ds="http://schemas.openxmlformats.org/officeDocument/2006/customXml" ds:itemID="{37804a2d-eb91-4eaf-8d7d-8c6a1a810e20}">
  <ds:schemaRefs/>
</ds:datastoreItem>
</file>

<file path=customXml/itemProps23.xml><?xml version="1.0" encoding="utf-8"?>
<ds:datastoreItem xmlns:ds="http://schemas.openxmlformats.org/officeDocument/2006/customXml" ds:itemID="{b3c0f80a-a421-49aa-979b-b542c7df0768}">
  <ds:schemaRefs/>
</ds:datastoreItem>
</file>

<file path=customXml/itemProps24.xml><?xml version="1.0" encoding="utf-8"?>
<ds:datastoreItem xmlns:ds="http://schemas.openxmlformats.org/officeDocument/2006/customXml" ds:itemID="{3976a215-7dd6-4b29-9d6b-c301aa86c420}">
  <ds:schemaRefs/>
</ds:datastoreItem>
</file>

<file path=customXml/itemProps25.xml><?xml version="1.0" encoding="utf-8"?>
<ds:datastoreItem xmlns:ds="http://schemas.openxmlformats.org/officeDocument/2006/customXml" ds:itemID="{bc2785f4-2d41-4f06-bbde-e459bc40b56b}">
  <ds:schemaRefs/>
</ds:datastoreItem>
</file>

<file path=customXml/itemProps26.xml><?xml version="1.0" encoding="utf-8"?>
<ds:datastoreItem xmlns:ds="http://schemas.openxmlformats.org/officeDocument/2006/customXml" ds:itemID="{2b4070d1-db99-41bb-a1f0-8cc39c2fb7ba}">
  <ds:schemaRefs/>
</ds:datastoreItem>
</file>

<file path=customXml/itemProps27.xml><?xml version="1.0" encoding="utf-8"?>
<ds:datastoreItem xmlns:ds="http://schemas.openxmlformats.org/officeDocument/2006/customXml" ds:itemID="{c1f876ce-5460-44d7-bfdb-b44950a99bed}">
  <ds:schemaRefs/>
</ds:datastoreItem>
</file>

<file path=customXml/itemProps3.xml><?xml version="1.0" encoding="utf-8"?>
<ds:datastoreItem xmlns:ds="http://schemas.openxmlformats.org/officeDocument/2006/customXml" ds:itemID="{88ce90e8-4ce3-4c05-a4bf-f400a50bb700}">
  <ds:schemaRefs/>
</ds:datastoreItem>
</file>

<file path=customXml/itemProps4.xml><?xml version="1.0" encoding="utf-8"?>
<ds:datastoreItem xmlns:ds="http://schemas.openxmlformats.org/officeDocument/2006/customXml" ds:itemID="{58025053-fe3d-48b9-9cce-0fcce9687f53}">
  <ds:schemaRefs/>
</ds:datastoreItem>
</file>

<file path=customXml/itemProps5.xml><?xml version="1.0" encoding="utf-8"?>
<ds:datastoreItem xmlns:ds="http://schemas.openxmlformats.org/officeDocument/2006/customXml" ds:itemID="{2b954189-c6f4-4052-9fc3-37561f1051bd}">
  <ds:schemaRefs/>
</ds:datastoreItem>
</file>

<file path=customXml/itemProps6.xml><?xml version="1.0" encoding="utf-8"?>
<ds:datastoreItem xmlns:ds="http://schemas.openxmlformats.org/officeDocument/2006/customXml" ds:itemID="{5b07fb8a-faf8-4254-b7dd-050f7bc8fe5d}">
  <ds:schemaRefs/>
</ds:datastoreItem>
</file>

<file path=customXml/itemProps7.xml><?xml version="1.0" encoding="utf-8"?>
<ds:datastoreItem xmlns:ds="http://schemas.openxmlformats.org/officeDocument/2006/customXml" ds:itemID="{5f1e5003-f67c-4559-a49e-6d4595807936}">
  <ds:schemaRefs/>
</ds:datastoreItem>
</file>

<file path=customXml/itemProps8.xml><?xml version="1.0" encoding="utf-8"?>
<ds:datastoreItem xmlns:ds="http://schemas.openxmlformats.org/officeDocument/2006/customXml" ds:itemID="{27fbf052-1837-4330-a909-cde8037d7f16}">
  <ds:schemaRefs/>
</ds:datastoreItem>
</file>

<file path=customXml/itemProps9.xml><?xml version="1.0" encoding="utf-8"?>
<ds:datastoreItem xmlns:ds="http://schemas.openxmlformats.org/officeDocument/2006/customXml" ds:itemID="{e9e484ea-93b2-4562-b175-7ee55ce9d26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40838</Words>
  <Characters>47887</Characters>
  <Paragraphs>2823</Paragraphs>
  <TotalTime>92</TotalTime>
  <ScaleCrop>false</ScaleCrop>
  <LinksUpToDate>false</LinksUpToDate>
  <CharactersWithSpaces>48283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2022-12-08T11:15:00Z</dcterms:created>
  <dc:creator>lhj</dc:creator>
  <cp:lastModifiedBy>王勤龙</cp:lastModifiedBy>
  <cp:lastPrinted>2021-05-24T07:25:00Z</cp:lastPrinted>
  <dcterms:modified xsi:type="dcterms:W3CDTF">2024-06-04T04:16:58Z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953DE1F7228146229A9FEFDB5AE6CD0B</vt:lpwstr>
  </property>
</Properties>
</file>