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鹿审环批复〔202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关于广西鹿寨万强化肥有限责任公司技改扩能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/年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复混肥项目环境影响报告表的批复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广西鹿寨万强化肥有限责任公司：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你公司报来的《广西鹿寨万强化肥有限责任公司技改扩能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复混肥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项目》（以下简称《报告表》）已收悉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万元，属于改扩建项目。项目位于柳州市鹿寨县金鸡路53号。利用租赁的广西鹿寨化肥有限责任公司的空地，用于本次扩能项目生产，占地面积1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m2，建筑面积1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0370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m2。项目主要生产复混肥料，年产复混肥料为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吨。项目已取得广西壮族自治区投资项目备案证明，项目代码：2306-450223-07-02-267002。从环境影响角度考虑，同意你公司按照报告表所列的建设项目的地点、性质、规模、采取的环境保护对策措施及下述要求进行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项目须落实报告表提出的各项环保要求，重点抓好以下环保工作：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项目产生的颗粒物经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集气管汇集至主集气管经旋风除尘+重力沉降室+水喷淋除尘处理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高排气筒排放，本项目排气筒高度设置及烟气排放速率均满足《大气污染物综合排放标准》（GB16297-1996）表2中的二级标准要求。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二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项目无生产废水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，生活污水经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化粪池处理，达到《污水综合排放标准》（GB8978-1996）三级标准后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定期请清污车抽走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待连接鹿寨污水管网后排入鹿寨县污水处理厂处理后达标排放。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合理布置项目设备位置，采取有效噪声污染防治措施，选用低噪声设备，设备安装减振基础；确保项目场界昼间噪声达到《工业企业厂界环境噪声排放标准》（GB12348-2008）3类标准。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四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项目应严格执行和《一般工业固体废物贮存和填埋污染控制标准》（GB18599-2020），一般工业固废收集后由一般固废堆放点存放。同时，根据《一般工业固废管理台账制定指南（试行）》，做好一般工业固废台账管理，台账注明危险废物的名称、来源、数量、特性、入库日期、出库日期等相关内容并进行台账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五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按照《环境保护图形标志—排污口（源）》和《排污口规范化整治要求（试行）》有关规定建设规范化的排污口。须按排污许可相关管理要求定期进行监测。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关于印发（企业事业单位突发环境事件应急预案备案管理办法（试行）的通知）》（环发{2015}4号）等相关要求，制订应急预案。定期进行应急演练。建立健全环保管理制度，加强环境管理，制定并落实环境保护规章制度，确保环保措施的有效落实，环保设施的的正常运转以及各项污染物稳定达标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项目建设必须严格执行环境保护设施与主体工程同时设计、同时施工、同时投产使用的环境保护“三同时”制度。落实各项环境保护措施。工程建成后，须按《建设项目竣工环境保护验收暂行办法》要求实施竣工环境保护验收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如建设项目的性质、规模、地点、生产工艺、所采取的污染防治措施发生重大变动项目的，或环境影响评价文件自批准之日起超过五年，方决定该项目开工建设的，须重新向我局报批建设项目环境影响评价文件。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0" w:firstLineChars="24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040" w:firstLineChars="24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鹿寨县行政审批局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 w:firstLineChars="200"/>
        <w:jc w:val="both"/>
        <w:textAlignment w:val="auto"/>
        <w:rPr>
          <w:rFonts w:hint="default" w:ascii="Times New Roman" w:hAnsi="Times New Roman" w:eastAsia="华文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 w:firstLineChars="200"/>
        <w:jc w:val="both"/>
        <w:textAlignment w:val="auto"/>
        <w:rPr>
          <w:rFonts w:hint="default" w:ascii="Times New Roman" w:hAnsi="Times New Roman" w:eastAsia="华文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 w:firstLineChars="200"/>
        <w:jc w:val="both"/>
        <w:textAlignment w:val="auto"/>
        <w:rPr>
          <w:rFonts w:hint="default" w:ascii="Times New Roman" w:hAnsi="Times New Roman" w:eastAsia="华文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 w:firstLineChars="200"/>
        <w:jc w:val="both"/>
        <w:textAlignment w:val="auto"/>
        <w:rPr>
          <w:rFonts w:hint="default" w:ascii="Times New Roman" w:hAnsi="Times New Roman" w:eastAsia="华文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 w:firstLineChars="200"/>
        <w:jc w:val="both"/>
        <w:textAlignment w:val="auto"/>
        <w:rPr>
          <w:rFonts w:hint="default" w:ascii="Times New Roman" w:hAnsi="Times New Roman" w:eastAsia="华文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 w:firstLineChars="200"/>
        <w:jc w:val="both"/>
        <w:textAlignment w:val="auto"/>
        <w:rPr>
          <w:rFonts w:hint="default" w:ascii="Times New Roman" w:hAnsi="Times New Roman" w:eastAsia="华文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 w:firstLineChars="200"/>
        <w:jc w:val="both"/>
        <w:textAlignment w:val="auto"/>
        <w:rPr>
          <w:rFonts w:hint="default" w:ascii="Times New Roman" w:hAnsi="Times New Roman" w:eastAsia="华文楷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9"/>
        <w:spacing w:before="1248" w:line="560" w:lineRule="exact"/>
        <w:ind w:left="0" w:leftChars="0" w:right="42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>信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>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</w:rPr>
        <w:t>公开方式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：主动公开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>鹿寨县行政审批局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>202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3</w:t>
      </w:r>
      <w:r>
        <w:rPr>
          <w:rFonts w:ascii="Times New Roman" w:hAnsi="Times New Roman" w:eastAsia="仿宋_GB2312"/>
          <w:sz w:val="32"/>
          <w:szCs w:val="32"/>
          <w:u w:val="single"/>
        </w:rPr>
        <w:t>年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u w:val="single"/>
        </w:rPr>
        <w:t>月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  <w:u w:val="single"/>
        </w:rPr>
        <w:t>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印发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701" w:right="141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MjA5MWY5Y2VmNzU4ZDRkYjQzZGViODlmNjZiMTAifQ=="/>
  </w:docVars>
  <w:rsids>
    <w:rsidRoot w:val="740F3077"/>
    <w:rsid w:val="07A52778"/>
    <w:rsid w:val="096B2BFA"/>
    <w:rsid w:val="740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240" w:lineRule="auto"/>
      <w:ind w:firstLine="0" w:firstLineChars="0"/>
      <w:outlineLvl w:val="3"/>
    </w:pPr>
    <w:rPr>
      <w:rFonts w:ascii="Arial" w:hAnsi="Arial" w:eastAsia="黑体"/>
      <w:b/>
      <w:bCs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Calibri" w:hAnsi="Calibri" w:cs="Times New Roman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落款日期"/>
    <w:basedOn w:val="1"/>
    <w:qFormat/>
    <w:uiPriority w:val="0"/>
    <w:pPr>
      <w:spacing w:before="400" w:beforeLines="400" w:line="540" w:lineRule="exact"/>
      <w:ind w:right="200" w:rightChars="200" w:firstLine="200" w:firstLineChars="200"/>
      <w:jc w:val="right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2023-09-19T03:26:00Z</dcterms:created>
  <dc:creator>-'Lucky</dc:creator>
  <cp:lastModifiedBy>LK</cp:lastModifiedBy>
  <dcterms:modified xsi:type="dcterms:W3CDTF">2023-10-18T01:40:45Z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6DA64DF806134A61AAF34FB2D5C4D9BD_11</vt:lpwstr>
  </property>
</Properties>
</file>