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s="宋体"/>
          <w:b/>
          <w:sz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rPr>
        <w:t>2022年公共卫生</w:t>
      </w:r>
      <w:r>
        <w:rPr>
          <w:rFonts w:hint="eastAsia" w:ascii="方正小标宋简体" w:hAnsi="方正小标宋简体" w:eastAsia="方正小标宋简体" w:cs="方正小标宋简体"/>
          <w:bCs/>
          <w:sz w:val="44"/>
          <w:szCs w:val="44"/>
        </w:rPr>
        <w:t>国家随机监督抽查计划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
          <w:sz w:val="32"/>
          <w:szCs w:val="32"/>
        </w:rPr>
      </w:pP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一、监督检查内容</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校卫生。抽查学校教学和生活环境、传染病防控、学校饮用水以及学校内游泳场所的卫生管理情况，抽查教室采光照明、人均面积、学习用品和水质。加强学校新冠肺炎疫情常态化防控措施落实情况监督检查。</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（二）公共场所卫生。抽查游泳、住宿、沐浴、美容美发等场所卫生管理情况，抽查顾客用品用具、水质、空气以及集中空调通风系统卫生质量。加强公共场所新冠肺炎疫情防控措施落实情况监督检查。</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（三）生活饮用水卫生。抽查集中式供水、小型集中式供水、二次供水的卫生管理情况，抽查供水水质。推进农村集中式供水卫生安全巡查服务，建立健全农村集中式供水基本情况和卫生安全巡查档案。</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涉及饮用水卫生安全的产品。抽查涉水产品生产经营单位、在华责任单位生产经营合规性情况，抽查输配水设备、水处理材料、化学处理剂和水质处理器产品卫生质量。抽查现制现售饮用水自动售水机的应用现场。</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（五）餐具饮具集中消毒服务单位。抽查餐具饮具集中消毒服务单位依法生产情况，抽查消毒餐具饮具卫生质量。</w:t>
      </w: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二、结果报送要求</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（二）要将完成本抽查计划中的学校采光和照明抽查任务，作为贯彻落实《综合防控儿童青少年近视实施方案》的一项重要内容，会同辖区教育行政部门做好抽查、记录和公布工作。</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要强化处理措施，对监督检查中发现的突出问题，及时向当地政府主管部门通报情况，促进协同监管；对生活美容场所涉嫌违法开展医疗美容等案件线索，要及时通报、组织协查。重大案件信息要及时向我委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auto"/>
          <w:sz w:val="32"/>
          <w:szCs w:val="32"/>
        </w:rPr>
        <w:t>要在11月30日前完成全部抽检任务和数据填报工作。于2022年12月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日前将工作总结电子版及纸质</w:t>
      </w:r>
      <w:r>
        <w:rPr>
          <w:rFonts w:hint="eastAsia" w:ascii="仿宋_GB2312" w:hAnsi="仿宋_GB2312" w:eastAsia="仿宋_GB2312" w:cs="仿宋_GB2312"/>
          <w:color w:val="auto"/>
          <w:sz w:val="32"/>
          <w:szCs w:val="32"/>
          <w:lang w:eastAsia="zh-CN"/>
        </w:rPr>
        <w:t>盖章扫描件</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lang w:eastAsia="zh-CN"/>
        </w:rPr>
        <w:t>计生</w:t>
      </w:r>
      <w:r>
        <w:rPr>
          <w:rFonts w:hint="eastAsia" w:ascii="仿宋_GB2312" w:hAnsi="仿宋_GB2312" w:eastAsia="仿宋_GB2312" w:cs="仿宋_GB2312"/>
          <w:color w:val="auto"/>
          <w:sz w:val="32"/>
          <w:szCs w:val="32"/>
        </w:rPr>
        <w:t>监督所。</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公共场所、餐饮具消毒卫生监督   联系人：王燕梓</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联系电话：0772-2806884   邮箱：lzwsjds1k@163.com</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学校、生活饮用水、涉水产品卫生监督   联系人：陈靖  </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联系电话：0772-2825470   邮箱：xxyysk@163.com</w:t>
      </w:r>
    </w:p>
    <w:p>
      <w:pPr>
        <w:keepNext w:val="0"/>
        <w:keepLines w:val="0"/>
        <w:pageBreakBefore w:val="0"/>
        <w:widowControl w:val="0"/>
        <w:kinsoku/>
        <w:wordWrap/>
        <w:overflowPunct/>
        <w:topLinePunct w:val="0"/>
        <w:autoSpaceDE/>
        <w:autoSpaceDN/>
        <w:bidi w:val="0"/>
        <w:spacing w:line="560" w:lineRule="exact"/>
        <w:ind w:firstLine="680"/>
        <w:textAlignment w:val="auto"/>
        <w:rPr>
          <w:rFonts w:ascii="仿宋_GB2312" w:hAnsi="仿宋_GB2312" w:eastAsia="仿宋_GB2312" w:cs="仿宋_GB2312"/>
          <w:sz w:val="32"/>
          <w:szCs w:val="32"/>
        </w:rPr>
      </w:pPr>
      <w:r>
        <w:rPr>
          <w:rFonts w:ascii="Times New Roman" w:hAnsi="Times New Roman" w:eastAsia="仿宋_GB2312"/>
          <w:sz w:val="32"/>
          <w:szCs w:val="32"/>
        </w:rPr>
        <w:t xml:space="preserve">  </w:t>
      </w:r>
    </w:p>
    <w:p>
      <w:pPr>
        <w:keepNext w:val="0"/>
        <w:keepLines w:val="0"/>
        <w:pageBreakBefore w:val="0"/>
        <w:widowControl w:val="0"/>
        <w:tabs>
          <w:tab w:val="left" w:pos="1480"/>
          <w:tab w:val="left" w:pos="1701"/>
        </w:tabs>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附表：1.2022年学校卫生国家随机监督抽查工作计划表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left="1916" w:leftChars="760" w:hanging="320" w:hanging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2022年公共场所卫生国家随机监督抽查工作计划表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line="560" w:lineRule="exact"/>
        <w:ind w:left="1916" w:leftChars="760" w:hanging="320" w:hanging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17"/>
          <w:sz w:val="32"/>
          <w:szCs w:val="32"/>
        </w:rPr>
        <w:t>2022年生活饮用水卫生国家随机监督抽查工作计划表</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left="1920" w:hanging="1920" w:hangingChars="600"/>
        <w:jc w:val="left"/>
        <w:textAlignment w:val="auto"/>
        <w:rPr>
          <w:rFonts w:hint="eastAsia" w:ascii="黑体" w:hAnsi="黑体" w:eastAsia="黑体"/>
          <w:sz w:val="32"/>
          <w:szCs w:val="32"/>
        </w:rPr>
        <w:sectPr>
          <w:headerReference r:id="rId3" w:type="default"/>
          <w:footerReference r:id="rId4" w:type="default"/>
          <w:pgSz w:w="11906" w:h="16838"/>
          <w:pgMar w:top="1701" w:right="1418" w:bottom="1418" w:left="1701" w:header="851" w:footer="992" w:gutter="0"/>
          <w:cols w:space="720" w:num="1"/>
          <w:docGrid w:linePitch="312" w:charSpace="0"/>
        </w:sectPr>
      </w:pPr>
    </w:p>
    <w:p>
      <w:pPr>
        <w:jc w:val="left"/>
        <w:rPr>
          <w:rFonts w:ascii="黑体" w:hAnsi="黑体" w:eastAsia="黑体"/>
          <w:sz w:val="32"/>
          <w:szCs w:val="32"/>
        </w:rPr>
      </w:pPr>
      <w:r>
        <w:rPr>
          <w:rFonts w:hint="eastAsia" w:ascii="黑体" w:hAnsi="黑体" w:eastAsia="黑体"/>
          <w:sz w:val="32"/>
          <w:szCs w:val="32"/>
        </w:rPr>
        <w:t>附表1</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202</w:t>
      </w:r>
      <w:r>
        <w:rPr>
          <w:rFonts w:hint="eastAsia" w:ascii="宋体" w:hAnsi="宋体" w:eastAsia="宋体" w:cs="宋体"/>
          <w:b/>
          <w:bCs w:val="0"/>
          <w:sz w:val="44"/>
          <w:szCs w:val="44"/>
          <w:lang w:val="en"/>
        </w:rPr>
        <w:t>2</w:t>
      </w:r>
      <w:r>
        <w:rPr>
          <w:rFonts w:hint="eastAsia" w:ascii="宋体" w:hAnsi="宋体" w:eastAsia="宋体" w:cs="宋体"/>
          <w:b/>
          <w:bCs w:val="0"/>
          <w:sz w:val="44"/>
          <w:szCs w:val="44"/>
        </w:rPr>
        <w:t>年学校卫生国家随机监督抽查工作计划表</w:t>
      </w:r>
    </w:p>
    <w:tbl>
      <w:tblPr>
        <w:tblStyle w:val="5"/>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0" w:type="dxa"/>
            <w:vAlign w:val="center"/>
          </w:tcPr>
          <w:p>
            <w:pPr>
              <w:jc w:val="center"/>
              <w:rPr>
                <w:rFonts w:ascii="黑体" w:hAnsi="黑体" w:eastAsia="黑体" w:cs="黑体"/>
                <w:szCs w:val="21"/>
              </w:rPr>
            </w:pPr>
            <w:r>
              <w:rPr>
                <w:rFonts w:hint="eastAsia" w:ascii="黑体" w:hAnsi="黑体" w:eastAsia="黑体" w:cs="黑体"/>
                <w:szCs w:val="21"/>
              </w:rPr>
              <w:t>监督检查对象</w:t>
            </w:r>
          </w:p>
        </w:tc>
        <w:tc>
          <w:tcPr>
            <w:tcW w:w="2127" w:type="dxa"/>
            <w:vAlign w:val="center"/>
          </w:tcPr>
          <w:p>
            <w:pPr>
              <w:keepNext/>
              <w:keepLines/>
              <w:widowControl/>
              <w:spacing w:before="72" w:beforeLines="30" w:after="72" w:afterLines="30" w:line="260" w:lineRule="exact"/>
              <w:jc w:val="center"/>
              <w:rPr>
                <w:rFonts w:ascii="黑体" w:hAnsi="黑体" w:eastAsia="黑体" w:cs="黑体"/>
                <w:szCs w:val="21"/>
              </w:rPr>
            </w:pPr>
            <w:r>
              <w:rPr>
                <w:rFonts w:hint="eastAsia" w:ascii="黑体" w:hAnsi="黑体" w:eastAsia="黑体" w:cs="黑体"/>
                <w:szCs w:val="21"/>
              </w:rPr>
              <w:t>范围和数量</w:t>
            </w:r>
          </w:p>
        </w:tc>
        <w:tc>
          <w:tcPr>
            <w:tcW w:w="5705" w:type="dxa"/>
            <w:vAlign w:val="center"/>
          </w:tcPr>
          <w:p>
            <w:pPr>
              <w:keepNext/>
              <w:keepLines/>
              <w:widowControl/>
              <w:spacing w:before="72" w:beforeLines="30" w:after="72" w:afterLines="30" w:line="260" w:lineRule="exact"/>
              <w:jc w:val="center"/>
              <w:rPr>
                <w:rFonts w:ascii="黑体" w:hAnsi="黑体" w:eastAsia="黑体" w:cs="黑体"/>
                <w:szCs w:val="21"/>
              </w:rPr>
            </w:pPr>
            <w:r>
              <w:rPr>
                <w:rFonts w:hint="eastAsia" w:ascii="黑体" w:hAnsi="黑体" w:eastAsia="黑体" w:cs="黑体"/>
                <w:szCs w:val="21"/>
              </w:rPr>
              <w:t>检查内容</w:t>
            </w:r>
          </w:p>
        </w:tc>
        <w:tc>
          <w:tcPr>
            <w:tcW w:w="4433" w:type="dxa"/>
            <w:vAlign w:val="center"/>
          </w:tcPr>
          <w:p>
            <w:pPr>
              <w:keepNext/>
              <w:keepLines/>
              <w:widowControl/>
              <w:spacing w:before="72" w:beforeLines="30" w:after="72" w:afterLines="30" w:line="260" w:lineRule="exact"/>
              <w:jc w:val="center"/>
              <w:rPr>
                <w:rFonts w:ascii="黑体" w:hAnsi="黑体" w:eastAsia="黑体" w:cs="黑体"/>
                <w:szCs w:val="21"/>
              </w:rPr>
            </w:pPr>
            <w:r>
              <w:rPr>
                <w:rFonts w:hint="eastAsia" w:ascii="黑体" w:hAnsi="黑体" w:eastAsia="黑体" w:cs="黑体"/>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中小学校</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及高校</w:t>
            </w:r>
          </w:p>
        </w:tc>
        <w:tc>
          <w:tcPr>
            <w:tcW w:w="2127" w:type="dxa"/>
            <w:vAlign w:val="center"/>
          </w:tcPr>
          <w:p>
            <w:pPr>
              <w:keepNext/>
              <w:keepLines/>
              <w:widowControl/>
              <w:spacing w:before="72" w:beforeLines="30" w:after="72" w:afterLines="30"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辖区学校总数的15%</w:t>
            </w:r>
            <w:r>
              <w:rPr>
                <w:rFonts w:hint="eastAsia" w:ascii="仿宋_GB2312" w:hAnsi="仿宋_GB2312" w:eastAsia="仿宋_GB2312" w:cs="仿宋_GB2312"/>
                <w:szCs w:val="21"/>
                <w:vertAlign w:val="superscript"/>
              </w:rPr>
              <w:t>(a)</w:t>
            </w:r>
          </w:p>
        </w:tc>
        <w:tc>
          <w:tcPr>
            <w:tcW w:w="5705" w:type="dxa"/>
            <w:vAlign w:val="center"/>
          </w:tcPr>
          <w:p>
            <w:pPr>
              <w:keepNext/>
              <w:keepLines/>
              <w:widowControl/>
              <w:spacing w:before="120" w:beforeLines="50" w:line="300" w:lineRule="exact"/>
              <w:rPr>
                <w:rFonts w:ascii="仿宋_GB2312" w:hAnsi="仿宋_GB2312" w:eastAsia="仿宋_GB2312" w:cs="仿宋_GB2312"/>
                <w:szCs w:val="21"/>
              </w:rPr>
            </w:pPr>
            <w:r>
              <w:rPr>
                <w:rFonts w:hint="eastAsia" w:ascii="仿宋_GB2312" w:hAnsi="仿宋_GB2312" w:eastAsia="仿宋_GB2312" w:cs="仿宋_GB2312"/>
                <w:szCs w:val="21"/>
              </w:rPr>
              <w:t>1.学校落实教学和生活环境卫生要求情况，包括教室课桌椅配备</w:t>
            </w:r>
            <w:r>
              <w:rPr>
                <w:rFonts w:hint="eastAsia" w:ascii="仿宋_GB2312" w:hAnsi="仿宋_GB2312" w:eastAsia="仿宋_GB2312" w:cs="仿宋_GB2312"/>
                <w:szCs w:val="21"/>
                <w:vertAlign w:val="superscript"/>
              </w:rPr>
              <w:t>(b)</w:t>
            </w:r>
            <w:r>
              <w:rPr>
                <w:rFonts w:hint="eastAsia" w:ascii="仿宋_GB2312" w:hAnsi="仿宋_GB2312" w:eastAsia="仿宋_GB2312" w:cs="仿宋_GB2312"/>
                <w:szCs w:val="21"/>
              </w:rPr>
              <w:t>、教室采光和照明</w:t>
            </w:r>
            <w:r>
              <w:rPr>
                <w:rFonts w:hint="eastAsia" w:ascii="仿宋_GB2312" w:hAnsi="仿宋_GB2312" w:eastAsia="仿宋_GB2312" w:cs="仿宋_GB2312"/>
                <w:szCs w:val="21"/>
                <w:vertAlign w:val="superscript"/>
              </w:rPr>
              <w:t>(c)</w:t>
            </w:r>
            <w:r>
              <w:rPr>
                <w:rFonts w:hint="eastAsia" w:ascii="仿宋_GB2312" w:hAnsi="仿宋_GB2312" w:eastAsia="仿宋_GB2312" w:cs="仿宋_GB2312"/>
                <w:szCs w:val="21"/>
              </w:rPr>
              <w:t>、教室人均面积、教室和宿舍通风设施、教学楼厕所及洗手设施设置等情况。学校提供的学习用品达标情况</w:t>
            </w:r>
            <w:r>
              <w:rPr>
                <w:rFonts w:hint="eastAsia" w:ascii="仿宋_GB2312" w:hAnsi="仿宋_GB2312" w:eastAsia="仿宋_GB2312" w:cs="仿宋_GB2312"/>
                <w:szCs w:val="21"/>
                <w:vertAlign w:val="superscript"/>
              </w:rPr>
              <w:t>（d）</w:t>
            </w:r>
            <w:r>
              <w:rPr>
                <w:rFonts w:hint="eastAsia" w:ascii="仿宋_GB2312" w:hAnsi="仿宋_GB2312" w:eastAsia="仿宋_GB2312" w:cs="仿宋_GB2312"/>
                <w:szCs w:val="21"/>
              </w:rPr>
              <w:t>，包括教室灯具、考试试卷等情况；</w:t>
            </w:r>
          </w:p>
          <w:p>
            <w:pPr>
              <w:keepNext/>
              <w:keepLines/>
              <w:widowControl/>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2.学校落实传染病和常见病防控要求情况，包括专人负责疫情报告、传染病防控“一案八制”</w:t>
            </w:r>
            <w:r>
              <w:rPr>
                <w:rFonts w:hint="eastAsia" w:ascii="仿宋_GB2312" w:hAnsi="仿宋_GB2312" w:eastAsia="仿宋_GB2312" w:cs="仿宋_GB2312"/>
                <w:szCs w:val="21"/>
                <w:vertAlign w:val="superscript"/>
              </w:rPr>
              <w:t>(e)</w:t>
            </w:r>
            <w:r>
              <w:rPr>
                <w:rFonts w:hint="eastAsia" w:ascii="仿宋_GB2312" w:hAnsi="仿宋_GB2312" w:eastAsia="仿宋_GB2312" w:cs="仿宋_GB2312"/>
                <w:szCs w:val="21"/>
              </w:rPr>
              <w:t>、晨检记录和因病缺勤病因追查与登记记录、复课证明查验、新生入学接种证查验登记、每年按规定实施学生健康体检等情况。学校新冠疫情常态化防控措施落实情况；</w:t>
            </w:r>
            <w:r>
              <w:rPr>
                <w:rFonts w:hint="eastAsia" w:ascii="仿宋_GB2312" w:hAnsi="仿宋_GB2312" w:eastAsia="仿宋_GB2312" w:cs="仿宋_GB2312"/>
                <w:szCs w:val="21"/>
                <w:vertAlign w:val="superscript"/>
              </w:rPr>
              <w:t>(f)</w:t>
            </w:r>
          </w:p>
          <w:p>
            <w:pPr>
              <w:keepNext/>
              <w:keepLines/>
              <w:widowControl/>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120" w:afterLines="50" w:line="300" w:lineRule="exact"/>
              <w:rPr>
                <w:rFonts w:ascii="仿宋_GB2312" w:hAnsi="仿宋_GB2312" w:eastAsia="仿宋_GB2312" w:cs="仿宋_GB2312"/>
                <w:szCs w:val="21"/>
              </w:rPr>
            </w:pPr>
            <w:r>
              <w:rPr>
                <w:rFonts w:hint="eastAsia" w:ascii="仿宋_GB2312" w:hAnsi="仿宋_GB2312" w:eastAsia="仿宋_GB2312" w:cs="仿宋_GB2312"/>
                <w:szCs w:val="21"/>
              </w:rPr>
              <w:t>4.学校纳入卫生监督协管服务情况。</w:t>
            </w:r>
          </w:p>
        </w:tc>
        <w:tc>
          <w:tcPr>
            <w:tcW w:w="4433" w:type="dxa"/>
            <w:vAlign w:val="center"/>
          </w:tcPr>
          <w:p>
            <w:pPr>
              <w:keepNext/>
              <w:keepLines/>
              <w:widowControl/>
              <w:spacing w:before="120" w:beforeLines="50" w:line="300" w:lineRule="exact"/>
              <w:rPr>
                <w:rFonts w:ascii="仿宋_GB2312" w:hAnsi="仿宋_GB2312" w:eastAsia="仿宋_GB2312" w:cs="仿宋_GB2312"/>
                <w:szCs w:val="21"/>
              </w:rPr>
            </w:pPr>
            <w:r>
              <w:rPr>
                <w:rFonts w:hint="eastAsia" w:ascii="仿宋_GB2312" w:hAnsi="仿宋_GB2312" w:eastAsia="仿宋_GB2312" w:cs="仿宋_GB2312"/>
                <w:szCs w:val="21"/>
              </w:rPr>
              <w:t>1.教室采光照明、教室人均面积、学校自制考试试卷纸张D65亮度及D65荧光亮度、字体字号、行空。</w:t>
            </w:r>
          </w:p>
          <w:p>
            <w:pPr>
              <w:keepNext/>
              <w:keepLines/>
              <w:widowControl/>
              <w:spacing w:after="120" w:afterLines="50" w:line="300" w:lineRule="exact"/>
              <w:rPr>
                <w:rFonts w:ascii="仿宋_GB2312" w:hAnsi="仿宋_GB2312" w:eastAsia="仿宋_GB2312" w:cs="仿宋_GB2312"/>
                <w:szCs w:val="21"/>
              </w:rPr>
            </w:pPr>
            <w:r>
              <w:rPr>
                <w:rFonts w:hint="eastAsia" w:ascii="仿宋_GB2312" w:hAnsi="仿宋_GB2312" w:eastAsia="仿宋_GB2312" w:cs="仿宋_GB2312"/>
                <w:szCs w:val="21"/>
              </w:rPr>
              <w:t>2.学校自建设施集中式供水和二次供水水质色度、浑浊度、臭和味、肉眼可见物、pH和消毒剂余量。</w:t>
            </w:r>
          </w:p>
        </w:tc>
      </w:tr>
    </w:tbl>
    <w:p>
      <w:pPr>
        <w:spacing w:before="120" w:beforeLines="50"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a.按抽查任务的50%进行检测。</w:t>
      </w:r>
    </w:p>
    <w:p>
      <w:pPr>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b.指每间教室至少设有2种不同高低型号的课桌椅，且每人一席。</w:t>
      </w:r>
    </w:p>
    <w:p>
      <w:pPr>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d.指达到《儿童青少年学习用品近视防控卫生要求》（GB40070）相关规定情况。</w:t>
      </w:r>
    </w:p>
    <w:p>
      <w:pPr>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e.指《中小学校传染病预防控制工作管理规范》（GB28932）第4.8条规定的传染病预防控制应急预案和相关制度。</w:t>
      </w:r>
    </w:p>
    <w:p>
      <w:pPr>
        <w:spacing w:line="280" w:lineRule="exact"/>
        <w:jc w:val="left"/>
        <w:rPr>
          <w:rFonts w:ascii="￥ﾍﾎ￦ﾖﾇ￤ﾻ﾿￥ﾮﾋ" w:hAnsi="￥ﾍﾎ￦ﾖﾇ￤ﾻ﾿￥ﾮﾋ" w:eastAsia="￥ﾍﾎ￦ﾖﾇ￤ﾻ﾿￥ﾮﾋ"/>
        </w:rPr>
      </w:pPr>
      <w:r>
        <w:rPr>
          <w:rFonts w:hint="eastAsia" w:ascii="仿宋_GB2312" w:hAnsi="仿宋_GB2312" w:eastAsia="仿宋_GB2312" w:cs="仿宋_GB2312"/>
          <w:kern w:val="0"/>
          <w:szCs w:val="21"/>
        </w:rPr>
        <w:t>f.落实属地</w:t>
      </w:r>
      <w:r>
        <w:rPr>
          <w:rFonts w:hint="eastAsia" w:ascii="仿宋_GB2312" w:hAnsi="仿宋_GB2312" w:eastAsia="仿宋_GB2312" w:cs="仿宋_GB2312"/>
          <w:szCs w:val="21"/>
        </w:rPr>
        <w:t>新冠疫情常态化防控措施要求即为合格。</w:t>
      </w:r>
    </w:p>
    <w:p>
      <w:pPr>
        <w:widowControl/>
        <w:jc w:val="left"/>
        <w:rPr>
          <w:rFonts w:ascii="黑体" w:hAnsi="宋体" w:eastAsia="黑体"/>
          <w:sz w:val="32"/>
          <w:szCs w:val="32"/>
        </w:rPr>
      </w:pPr>
      <w:r>
        <w:rPr>
          <w:rFonts w:hint="eastAsia" w:ascii="黑体" w:hAnsi="宋体" w:eastAsia="黑体"/>
          <w:sz w:val="32"/>
          <w:szCs w:val="32"/>
        </w:rPr>
        <w:br w:type="page"/>
      </w:r>
      <w:r>
        <w:rPr>
          <w:rFonts w:hint="eastAsia" w:ascii="黑体" w:hAnsi="宋体" w:eastAsia="黑体"/>
          <w:sz w:val="32"/>
          <w:szCs w:val="32"/>
        </w:rPr>
        <w:t>附表2</w:t>
      </w:r>
    </w:p>
    <w:p>
      <w:pPr>
        <w:widowControl/>
        <w:jc w:val="center"/>
        <w:rPr>
          <w:rFonts w:hint="eastAsia" w:ascii="宋体" w:hAnsi="宋体" w:eastAsia="宋体" w:cs="宋体"/>
          <w:b/>
          <w:bCs w:val="0"/>
          <w:sz w:val="44"/>
          <w:szCs w:val="44"/>
        </w:rPr>
      </w:pPr>
      <w:bookmarkStart w:id="0" w:name="_GoBack"/>
      <w:r>
        <w:rPr>
          <w:rFonts w:hint="eastAsia" w:ascii="宋体" w:hAnsi="宋体" w:eastAsia="宋体" w:cs="宋体"/>
          <w:b/>
          <w:bCs w:val="0"/>
          <w:sz w:val="44"/>
          <w:szCs w:val="44"/>
        </w:rPr>
        <w:t>202</w:t>
      </w:r>
      <w:r>
        <w:rPr>
          <w:rFonts w:hint="eastAsia" w:ascii="宋体" w:hAnsi="宋体" w:eastAsia="宋体" w:cs="宋体"/>
          <w:b/>
          <w:bCs w:val="0"/>
          <w:sz w:val="44"/>
          <w:szCs w:val="44"/>
          <w:lang w:val="en"/>
        </w:rPr>
        <w:t>2</w:t>
      </w:r>
      <w:r>
        <w:rPr>
          <w:rFonts w:hint="eastAsia" w:ascii="宋体" w:hAnsi="宋体" w:eastAsia="宋体" w:cs="宋体"/>
          <w:b/>
          <w:bCs w:val="0"/>
          <w:sz w:val="44"/>
          <w:szCs w:val="44"/>
        </w:rPr>
        <w:t>年公共场所卫生国家随机监督抽查工作计划表</w:t>
      </w:r>
    </w:p>
    <w:bookmarkEnd w:id="0"/>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3160"/>
        <w:gridCol w:w="4528"/>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黑体" w:hAnsi="黑体" w:eastAsia="黑体" w:cs="黑体"/>
              </w:rPr>
            </w:pPr>
            <w:r>
              <w:rPr>
                <w:rFonts w:hint="eastAsia" w:ascii="黑体" w:hAnsi="黑体" w:eastAsia="黑体" w:cs="黑体"/>
              </w:rPr>
              <w:t>监督检查对象</w:t>
            </w:r>
          </w:p>
        </w:tc>
        <w:tc>
          <w:tcPr>
            <w:tcW w:w="31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黑体" w:hAnsi="黑体" w:eastAsia="黑体" w:cs="黑体"/>
              </w:rPr>
            </w:pPr>
            <w:r>
              <w:rPr>
                <w:rFonts w:hint="eastAsia" w:ascii="黑体" w:hAnsi="黑体" w:eastAsia="黑体" w:cs="黑体"/>
              </w:rPr>
              <w:t>抽查范围和数量</w:t>
            </w:r>
          </w:p>
        </w:tc>
        <w:tc>
          <w:tcPr>
            <w:tcW w:w="45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黑体" w:hAnsi="黑体" w:eastAsia="黑体" w:cs="黑体"/>
              </w:rPr>
            </w:pPr>
            <w:r>
              <w:rPr>
                <w:rFonts w:hint="eastAsia" w:ascii="黑体" w:hAnsi="黑体" w:eastAsia="黑体" w:cs="黑体"/>
              </w:rPr>
              <w:t>检查内容</w:t>
            </w:r>
          </w:p>
        </w:tc>
        <w:tc>
          <w:tcPr>
            <w:tcW w:w="58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黑体" w:hAnsi="黑体" w:eastAsia="黑体" w:cs="黑体"/>
              </w:rPr>
            </w:pPr>
            <w:r>
              <w:rPr>
                <w:rFonts w:hint="eastAsia" w:ascii="黑体" w:hAnsi="黑体" w:eastAsia="黑体" w:cs="黑体"/>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hAnsi="仿宋_GB2312" w:eastAsia="仿宋_GB2312" w:cs="仿宋_GB2312"/>
              </w:rPr>
            </w:pPr>
            <w:r>
              <w:rPr>
                <w:rFonts w:hint="eastAsia" w:ascii="仿宋_GB2312" w:hAnsi="仿宋_GB2312" w:eastAsia="仿宋_GB2312" w:cs="仿宋_GB2312"/>
              </w:rPr>
              <w:t>游泳场所</w:t>
            </w:r>
          </w:p>
        </w:tc>
        <w:tc>
          <w:tcPr>
            <w:tcW w:w="31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仿宋_GB2312" w:hAnsi="仿宋_GB2312" w:eastAsia="仿宋_GB2312" w:cs="仿宋_GB2312"/>
              </w:rPr>
            </w:pPr>
            <w:r>
              <w:rPr>
                <w:rFonts w:hint="eastAsia" w:ascii="仿宋_GB2312" w:hAnsi="仿宋_GB2312" w:eastAsia="仿宋_GB2312" w:cs="仿宋_GB2312"/>
              </w:rPr>
              <w:t>辖区全部人工游泳场所（含学校内游泳场所）</w:t>
            </w:r>
            <w:r>
              <w:rPr>
                <w:rFonts w:hint="eastAsia" w:ascii="仿宋_GB2312" w:hAnsi="仿宋_GB2312" w:eastAsia="仿宋_GB2312" w:cs="仿宋_GB2312"/>
                <w:vertAlign w:val="superscript"/>
              </w:rPr>
              <w:t xml:space="preserve">(a) </w:t>
            </w:r>
          </w:p>
        </w:tc>
        <w:tc>
          <w:tcPr>
            <w:tcW w:w="45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1.设置卫生管理部门或人员情况；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2.建立卫生管理档案情况；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3.从业人员健康体检情况；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4.设置禁止吸烟警语标志情况；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5.对空气、水质、顾客用品用具等进行卫生检测情况；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6.公示卫生许可证、卫生信誉度等级和卫生检测信息情况；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7.对顾客用品用具进行清洗、消毒、保洁情况；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8.实施卫生监督量化分级管理情况；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9.住宿场所按照《艾滋病防治条例》放置安全套或者设置安全套发售设施情况；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10.生活美容场所违法开展医疗美容情况；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11.公共场所新冠疫情常态化防控措施落实情况。</w:t>
            </w:r>
            <w:r>
              <w:rPr>
                <w:rFonts w:hint="eastAsia" w:ascii="仿宋_GB2312" w:hAnsi="仿宋_GB2312" w:eastAsia="仿宋_GB2312" w:cs="仿宋_GB2312"/>
                <w:vertAlign w:val="superscript"/>
              </w:rPr>
              <w:t>(b)</w:t>
            </w:r>
          </w:p>
        </w:tc>
        <w:tc>
          <w:tcPr>
            <w:tcW w:w="586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1.泳池水浑浊度、pH、游离性余氯、尿素、菌落总数、大肠菌群</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hAnsi="仿宋_GB2312" w:eastAsia="仿宋_GB2312" w:cs="仿宋_GB2312"/>
              </w:rPr>
            </w:pPr>
            <w:r>
              <w:rPr>
                <w:rFonts w:hint="eastAsia" w:ascii="仿宋_GB2312" w:hAnsi="仿宋_GB2312" w:eastAsia="仿宋_GB2312" w:cs="仿宋_GB2312"/>
              </w:rPr>
              <w:t>住宿场所</w:t>
            </w:r>
          </w:p>
        </w:tc>
        <w:tc>
          <w:tcPr>
            <w:tcW w:w="31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仿宋_GB2312" w:hAnsi="仿宋_GB2312" w:eastAsia="仿宋_GB2312" w:cs="仿宋_GB2312"/>
              </w:rPr>
            </w:pPr>
            <w:r>
              <w:rPr>
                <w:rFonts w:hint="eastAsia" w:ascii="仿宋_GB2312" w:hAnsi="仿宋_GB2312" w:eastAsia="仿宋_GB2312" w:cs="仿宋_GB2312"/>
              </w:rPr>
              <w:t>辖区总数10%</w:t>
            </w:r>
            <w:r>
              <w:rPr>
                <w:rFonts w:hint="eastAsia" w:ascii="仿宋_GB2312" w:hAnsi="仿宋_GB2312" w:eastAsia="仿宋_GB2312" w:cs="仿宋_GB2312"/>
                <w:vertAlign w:val="superscript"/>
              </w:rPr>
              <w:t xml:space="preserve">(a) </w:t>
            </w:r>
          </w:p>
        </w:tc>
        <w:tc>
          <w:tcPr>
            <w:tcW w:w="4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仿宋_GB2312" w:hAnsi="仿宋_GB2312" w:eastAsia="仿宋_GB2312" w:cs="仿宋_GB2312"/>
              </w:rPr>
            </w:pPr>
          </w:p>
        </w:tc>
        <w:tc>
          <w:tcPr>
            <w:tcW w:w="586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1.棉织品外观、细菌总数、大肠菌群、金黄色葡萄球菌、pH</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hAnsi="仿宋_GB2312" w:eastAsia="仿宋_GB2312" w:cs="仿宋_GB2312"/>
              </w:rPr>
            </w:pPr>
            <w:r>
              <w:rPr>
                <w:rFonts w:hint="eastAsia" w:ascii="仿宋_GB2312" w:hAnsi="仿宋_GB2312" w:eastAsia="仿宋_GB2312" w:cs="仿宋_GB2312"/>
              </w:rPr>
              <w:t>沐浴场所</w:t>
            </w:r>
          </w:p>
        </w:tc>
        <w:tc>
          <w:tcPr>
            <w:tcW w:w="31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辖区总数5%</w:t>
            </w:r>
            <w:r>
              <w:rPr>
                <w:rFonts w:hint="eastAsia" w:ascii="仿宋_GB2312" w:hAnsi="仿宋_GB2312" w:eastAsia="仿宋_GB2312" w:cs="仿宋_GB2312"/>
                <w:vertAlign w:val="superscript"/>
              </w:rPr>
              <w:t xml:space="preserve">(a) </w:t>
            </w:r>
          </w:p>
        </w:tc>
        <w:tc>
          <w:tcPr>
            <w:tcW w:w="4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仿宋_GB2312" w:hAnsi="仿宋_GB2312" w:eastAsia="仿宋_GB2312" w:cs="仿宋_GB2312"/>
              </w:rPr>
            </w:pPr>
          </w:p>
        </w:tc>
        <w:tc>
          <w:tcPr>
            <w:tcW w:w="586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1.棉织品外观、细菌总数、大肠菌群、金黄色葡萄球菌、pH</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hAnsi="仿宋_GB2312" w:eastAsia="仿宋_GB2312" w:cs="仿宋_GB2312"/>
              </w:rPr>
            </w:pPr>
            <w:r>
              <w:rPr>
                <w:rFonts w:hint="eastAsia" w:ascii="仿宋_GB2312" w:hAnsi="仿宋_GB2312" w:eastAsia="仿宋_GB2312" w:cs="仿宋_GB2312"/>
              </w:rPr>
              <w:t>美容美发场所</w:t>
            </w:r>
          </w:p>
        </w:tc>
        <w:tc>
          <w:tcPr>
            <w:tcW w:w="31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仿宋_GB2312" w:hAnsi="仿宋_GB2312" w:eastAsia="仿宋_GB2312" w:cs="仿宋_GB2312"/>
              </w:rPr>
            </w:pPr>
            <w:r>
              <w:rPr>
                <w:rFonts w:hint="eastAsia" w:ascii="仿宋_GB2312" w:hAnsi="仿宋_GB2312" w:eastAsia="仿宋_GB2312" w:cs="仿宋_GB2312"/>
              </w:rPr>
              <w:t>辖区总数4%</w:t>
            </w:r>
            <w:r>
              <w:rPr>
                <w:rFonts w:hint="eastAsia" w:ascii="仿宋_GB2312" w:hAnsi="仿宋_GB2312" w:eastAsia="仿宋_GB2312" w:cs="仿宋_GB2312"/>
                <w:vertAlign w:val="superscript"/>
              </w:rPr>
              <w:t xml:space="preserve">(a) </w:t>
            </w:r>
          </w:p>
        </w:tc>
        <w:tc>
          <w:tcPr>
            <w:tcW w:w="4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仿宋_GB2312" w:hAnsi="仿宋_GB2312" w:eastAsia="仿宋_GB2312" w:cs="仿宋_GB2312"/>
              </w:rPr>
            </w:pPr>
          </w:p>
        </w:tc>
        <w:tc>
          <w:tcPr>
            <w:tcW w:w="586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1.美容美发工具细菌总数、大肠菌群、金黄色葡萄球菌</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hAnsi="仿宋_GB2312" w:eastAsia="仿宋_GB2312" w:cs="仿宋_GB2312"/>
              </w:rPr>
            </w:pPr>
            <w:r>
              <w:rPr>
                <w:rFonts w:hint="eastAsia" w:ascii="仿宋_GB2312" w:hAnsi="仿宋_GB2312" w:eastAsia="仿宋_GB2312" w:cs="仿宋_GB2312"/>
              </w:rPr>
              <w:t>其他公共场所</w:t>
            </w:r>
          </w:p>
        </w:tc>
        <w:tc>
          <w:tcPr>
            <w:tcW w:w="31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仿宋_GB2312" w:hAnsi="仿宋_GB2312" w:eastAsia="仿宋_GB2312" w:cs="仿宋_GB2312"/>
              </w:rPr>
            </w:pPr>
            <w:r>
              <w:rPr>
                <w:rFonts w:hint="eastAsia" w:ascii="仿宋_GB2312" w:hAnsi="仿宋_GB2312" w:eastAsia="仿宋_GB2312" w:cs="仿宋_GB2312"/>
              </w:rPr>
              <w:t>辖区全部候车（机、船）室。</w:t>
            </w:r>
          </w:p>
          <w:p>
            <w:pPr>
              <w:widowControl/>
              <w:spacing w:line="240" w:lineRule="exact"/>
              <w:rPr>
                <w:rFonts w:ascii="仿宋_GB2312" w:hAnsi="仿宋_GB2312" w:eastAsia="仿宋_GB2312" w:cs="仿宋_GB2312"/>
              </w:rPr>
            </w:pPr>
            <w:r>
              <w:rPr>
                <w:rFonts w:hint="eastAsia" w:ascii="仿宋_GB2312" w:hAnsi="仿宋_GB2312" w:eastAsia="仿宋_GB2312" w:cs="仿宋_GB2312"/>
              </w:rPr>
              <w:t>辖区营业面积2000m</w:t>
            </w:r>
            <w:r>
              <w:rPr>
                <w:rFonts w:hint="eastAsia" w:ascii="仿宋_GB2312" w:hAnsi="仿宋_GB2312" w:eastAsia="仿宋_GB2312" w:cs="仿宋_GB2312"/>
                <w:vertAlign w:val="superscript"/>
              </w:rPr>
              <w:t>2</w:t>
            </w:r>
            <w:r>
              <w:rPr>
                <w:rFonts w:hint="eastAsia" w:ascii="仿宋_GB2312" w:hAnsi="仿宋_GB2312" w:eastAsia="仿宋_GB2312" w:cs="仿宋_GB2312"/>
              </w:rPr>
              <w:t>以上商场（超市）60户，影剧院40户，游艺厅、歌舞厅、音乐厅共80户，数量不足的全部检查。</w:t>
            </w:r>
            <w:r>
              <w:rPr>
                <w:rFonts w:hint="eastAsia" w:ascii="仿宋_GB2312" w:hAnsi="仿宋_GB2312" w:eastAsia="仿宋_GB2312" w:cs="仿宋_GB2312"/>
                <w:vertAlign w:val="superscript"/>
              </w:rPr>
              <w:t xml:space="preserve">(a) </w:t>
            </w:r>
          </w:p>
        </w:tc>
        <w:tc>
          <w:tcPr>
            <w:tcW w:w="4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仿宋_GB2312" w:hAnsi="仿宋_GB2312" w:eastAsia="仿宋_GB2312" w:cs="仿宋_GB2312"/>
              </w:rPr>
            </w:pPr>
          </w:p>
        </w:tc>
        <w:tc>
          <w:tcPr>
            <w:tcW w:w="586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室内空气中CO</w:t>
            </w:r>
            <w:r>
              <w:rPr>
                <w:rFonts w:hint="eastAsia" w:ascii="仿宋_GB2312" w:hAnsi="仿宋_GB2312" w:eastAsia="仿宋_GB2312" w:cs="仿宋_GB2312"/>
                <w:vertAlign w:val="subscript"/>
              </w:rPr>
              <w:t>2</w:t>
            </w:r>
            <w:r>
              <w:rPr>
                <w:rFonts w:hint="eastAsia" w:ascii="仿宋_GB2312" w:hAnsi="仿宋_GB2312" w:eastAsia="仿宋_GB2312" w:cs="仿宋_GB2312"/>
              </w:rPr>
              <w:t>、甲醛、苯、甲苯、二甲苯</w:t>
            </w:r>
            <w:r>
              <w:rPr>
                <w:rFonts w:hint="eastAsia" w:ascii="仿宋_GB2312" w:hAnsi="仿宋_GB2312" w:eastAsia="仿宋_GB2312" w:cs="仿宋_GB2312"/>
                <w:vertAlign w:val="super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hAnsi="仿宋_GB2312" w:eastAsia="仿宋_GB2312" w:cs="仿宋_GB2312"/>
              </w:rPr>
            </w:pPr>
            <w:r>
              <w:rPr>
                <w:rFonts w:hint="eastAsia" w:ascii="仿宋_GB2312" w:hAnsi="仿宋_GB2312" w:eastAsia="仿宋_GB2312" w:cs="仿宋_GB2312"/>
              </w:rPr>
              <w:t>集中空调</w:t>
            </w:r>
          </w:p>
        </w:tc>
        <w:tc>
          <w:tcPr>
            <w:tcW w:w="316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仿宋_GB2312" w:hAnsi="仿宋_GB2312" w:eastAsia="仿宋_GB2312" w:cs="仿宋_GB2312"/>
              </w:rPr>
            </w:pPr>
            <w:r>
              <w:rPr>
                <w:rFonts w:hint="eastAsia" w:ascii="仿宋_GB2312" w:hAnsi="仿宋_GB2312" w:eastAsia="仿宋_GB2312" w:cs="仿宋_GB2312"/>
              </w:rPr>
              <w:t>辖区已抽取公共场所中使用集中空调通风系统的全部检查；其中抽取30户进行检测，数量不足的全部检测</w:t>
            </w:r>
          </w:p>
        </w:tc>
        <w:tc>
          <w:tcPr>
            <w:tcW w:w="452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1.建立集中空调通风系统卫生档案；</w:t>
            </w:r>
            <w:r>
              <w:rPr>
                <w:rFonts w:hint="eastAsia" w:ascii="仿宋_GB2312" w:hAnsi="仿宋_GB2312" w:eastAsia="仿宋_GB2312" w:cs="仿宋_GB2312"/>
                <w:vertAlign w:val="superscript"/>
              </w:rPr>
              <w:t xml:space="preserve">(c) </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2.建立预防空气传播性疾病应急预案情况；</w:t>
            </w:r>
            <w:r>
              <w:rPr>
                <w:rFonts w:hint="eastAsia" w:ascii="仿宋_GB2312" w:hAnsi="仿宋_GB2312" w:eastAsia="仿宋_GB2312" w:cs="仿宋_GB2312"/>
                <w:vertAlign w:val="superscript"/>
              </w:rPr>
              <w:t xml:space="preserve">(c) </w:t>
            </w:r>
            <w:r>
              <w:rPr>
                <w:rFonts w:hint="eastAsia" w:ascii="仿宋_GB2312" w:hAnsi="仿宋_GB2312" w:eastAsia="仿宋_GB2312" w:cs="仿宋_GB2312"/>
              </w:rPr>
              <w:t xml:space="preserve"> </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3.开展集中空调通风系统卫生检测或卫生学评价情况；</w:t>
            </w:r>
            <w:r>
              <w:rPr>
                <w:rFonts w:hint="eastAsia" w:ascii="仿宋_GB2312" w:hAnsi="仿宋_GB2312" w:eastAsia="仿宋_GB2312" w:cs="仿宋_GB2312"/>
                <w:vertAlign w:val="superscript"/>
              </w:rPr>
              <w:t>(d)</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4.开展集中空调通风系统清洗消毒情况；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5.新风口、开放式冷却塔依标准设置情况</w:t>
            </w:r>
          </w:p>
        </w:tc>
        <w:tc>
          <w:tcPr>
            <w:tcW w:w="586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1.风管内表面积尘量、细菌总数、真菌总数</w:t>
            </w:r>
            <w:r>
              <w:rPr>
                <w:rFonts w:hint="eastAsia" w:ascii="仿宋_GB2312" w:hAnsi="仿宋_GB2312" w:eastAsia="仿宋_GB2312" w:cs="仿宋_GB2312"/>
                <w:vertAlign w:val="superscript"/>
              </w:rPr>
              <w:t>(f)</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2.冷却水中嗜肺军团菌</w:t>
            </w:r>
            <w:r>
              <w:rPr>
                <w:rFonts w:hint="eastAsia" w:ascii="仿宋_GB2312" w:hAnsi="仿宋_GB2312" w:eastAsia="仿宋_GB2312" w:cs="仿宋_GB2312"/>
                <w:vertAlign w:val="superscript"/>
              </w:rPr>
              <w:t>(g)</w:t>
            </w:r>
          </w:p>
        </w:tc>
      </w:tr>
    </w:tbl>
    <w:p>
      <w:pPr>
        <w:adjustRightInd w:val="0"/>
        <w:snapToGrid w:val="0"/>
        <w:spacing w:line="200" w:lineRule="atLeas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a.游泳场所按抽查任务的100%进行检测，住宿场所、沐浴场所、其他公共场所按抽查任务的50%进行检测，美容美发场所按抽查任务的20%进行检测。</w:t>
      </w:r>
    </w:p>
    <w:p>
      <w:pPr>
        <w:adjustRightInd w:val="0"/>
        <w:snapToGrid w:val="0"/>
        <w:spacing w:line="200" w:lineRule="atLeas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b.落实属地</w:t>
      </w:r>
      <w:r>
        <w:rPr>
          <w:rFonts w:hint="eastAsia" w:ascii="仿宋_GB2312" w:hAnsi="仿宋_GB2312" w:eastAsia="仿宋_GB2312" w:cs="仿宋_GB2312"/>
          <w:szCs w:val="21"/>
        </w:rPr>
        <w:t>新冠疫情常态化防控措施要求即为合格。</w:t>
      </w:r>
    </w:p>
    <w:p>
      <w:pPr>
        <w:adjustRightInd w:val="0"/>
        <w:snapToGrid w:val="0"/>
        <w:spacing w:line="200" w:lineRule="atLeast"/>
        <w:jc w:val="left"/>
        <w:rPr>
          <w:rFonts w:ascii="仿宋_GB2312" w:hAnsi="仿宋_GB2312" w:eastAsia="仿宋_GB2312" w:cs="仿宋_GB2312"/>
          <w:kern w:val="0"/>
          <w:szCs w:val="21"/>
          <w:vertAlign w:val="subscript"/>
        </w:rPr>
      </w:pPr>
      <w:r>
        <w:rPr>
          <w:rFonts w:hint="eastAsia" w:ascii="仿宋_GB2312" w:hAnsi="仿宋_GB2312" w:eastAsia="仿宋_GB2312" w:cs="仿宋_GB2312"/>
          <w:kern w:val="0"/>
          <w:szCs w:val="21"/>
        </w:rPr>
        <w:t>c.指《公共场所集中空调通风系统卫生规范》（WS 394-2012）规定的集中空调通风系统卫生档案和预防空气传播性疾病应急预案。</w:t>
      </w:r>
    </w:p>
    <w:p>
      <w:pPr>
        <w:adjustRightInd w:val="0"/>
        <w:snapToGrid w:val="0"/>
        <w:spacing w:line="200" w:lineRule="atLeas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d.使用单位需提供集中空调通风系统卫生检测报告复印件。 </w:t>
      </w:r>
    </w:p>
    <w:p>
      <w:pPr>
        <w:adjustRightInd w:val="0"/>
        <w:snapToGrid w:val="0"/>
        <w:spacing w:line="200" w:lineRule="atLeas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e.只对6个月内进行过室内大面积装修的场所检测甲醛、苯、甲苯、二甲苯项目。</w:t>
      </w:r>
    </w:p>
    <w:p>
      <w:pPr>
        <w:adjustRightInd w:val="0"/>
        <w:snapToGrid w:val="0"/>
        <w:spacing w:line="200" w:lineRule="atLeast"/>
        <w:jc w:val="left"/>
        <w:rPr>
          <w:rFonts w:ascii="仿宋_GB2312" w:hAnsi="仿宋_GB2312" w:eastAsia="仿宋_GB2312" w:cs="仿宋_GB2312"/>
          <w:kern w:val="0"/>
          <w:szCs w:val="21"/>
        </w:rPr>
      </w:pPr>
      <w:r>
        <w:rPr>
          <w:rFonts w:hint="eastAsia" w:ascii="仿宋_GB2312" w:hAnsi="仿宋_GB2312" w:eastAsia="仿宋_GB2312" w:cs="仿宋_GB2312"/>
          <w:szCs w:val="21"/>
        </w:rPr>
        <w:t>f</w:t>
      </w:r>
      <w:r>
        <w:rPr>
          <w:rFonts w:hint="eastAsia" w:ascii="仿宋_GB2312" w:hAnsi="仿宋_GB2312" w:eastAsia="仿宋_GB2312" w:cs="仿宋_GB2312"/>
          <w:kern w:val="0"/>
          <w:szCs w:val="21"/>
        </w:rPr>
        <w:t>.使用无风管集中空调通风系统的，该指标合理缺项。</w:t>
      </w:r>
    </w:p>
    <w:p>
      <w:pPr>
        <w:adjustRightInd w:val="0"/>
        <w:snapToGrid w:val="0"/>
        <w:spacing w:line="200" w:lineRule="atLeast"/>
        <w:rPr>
          <w:rFonts w:ascii="华文仿宋" w:hAnsi="华文仿宋" w:eastAsia="华文仿宋" w:cs="仿宋_GB2312"/>
          <w:szCs w:val="21"/>
        </w:rPr>
      </w:pPr>
      <w:r>
        <w:rPr>
          <w:rFonts w:hint="eastAsia" w:ascii="仿宋_GB2312" w:hAnsi="仿宋_GB2312" w:eastAsia="仿宋_GB2312" w:cs="仿宋_GB2312"/>
          <w:szCs w:val="21"/>
        </w:rPr>
        <w:t>g.使用非开放式冷却塔集中空调通风系统的，该指标合理缺项。</w:t>
      </w:r>
    </w:p>
    <w:p>
      <w:pPr>
        <w:spacing w:line="600" w:lineRule="exact"/>
        <w:rPr>
          <w:rFonts w:ascii="黑体" w:hAnsi="宋体" w:eastAsia="黑体"/>
          <w:sz w:val="32"/>
          <w:szCs w:val="32"/>
        </w:rPr>
      </w:pPr>
      <w:r>
        <w:rPr>
          <w:rFonts w:hint="eastAsia" w:ascii="黑体" w:hAnsi="宋体" w:eastAsia="黑体"/>
          <w:sz w:val="32"/>
          <w:szCs w:val="32"/>
        </w:rPr>
        <w:t>附表3</w:t>
      </w:r>
    </w:p>
    <w:p>
      <w:pPr>
        <w:spacing w:before="120" w:beforeLines="50" w:line="600" w:lineRule="exact"/>
        <w:jc w:val="center"/>
        <w:rPr>
          <w:rFonts w:ascii="方正小标宋简体" w:hAnsi="方正小标宋简体" w:eastAsia="方正小标宋简体" w:cs="方正小标宋简体"/>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
        </w:rPr>
        <w:t>2</w:t>
      </w:r>
      <w:r>
        <w:rPr>
          <w:rFonts w:hint="eastAsia" w:ascii="宋体" w:hAnsi="宋体" w:eastAsia="宋体" w:cs="宋体"/>
          <w:b/>
          <w:bCs/>
          <w:sz w:val="44"/>
          <w:szCs w:val="44"/>
        </w:rPr>
        <w:t>年生活饮用水卫生国家随机监督抽查工作计划表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黑体" w:hAnsi="黑体" w:eastAsia="黑体" w:cs="黑体"/>
              </w:rPr>
            </w:pPr>
            <w:r>
              <w:rPr>
                <w:rFonts w:hint="eastAsia" w:ascii="黑体" w:hAnsi="黑体" w:eastAsia="黑体" w:cs="黑体"/>
              </w:rPr>
              <w:t>监督检查对象</w:t>
            </w:r>
            <w:r>
              <w:rPr>
                <w:rFonts w:hint="eastAsia" w:ascii="黑体" w:hAnsi="黑体" w:eastAsia="黑体" w:cs="黑体"/>
                <w:vertAlign w:val="superscript"/>
              </w:rPr>
              <w:t>(a)</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黑体" w:hAnsi="黑体" w:eastAsia="黑体" w:cs="黑体"/>
              </w:rPr>
            </w:pPr>
            <w:r>
              <w:rPr>
                <w:rFonts w:hint="eastAsia" w:ascii="黑体" w:hAnsi="黑体" w:eastAsia="黑体" w:cs="黑体"/>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黑体" w:hAnsi="黑体" w:eastAsia="黑体" w:cs="黑体"/>
              </w:rPr>
            </w:pPr>
            <w:r>
              <w:rPr>
                <w:rFonts w:hint="eastAsia" w:ascii="黑体" w:hAnsi="黑体" w:eastAsia="黑体" w:cs="黑体"/>
              </w:rPr>
              <w:t>检查内容</w:t>
            </w:r>
          </w:p>
        </w:tc>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黑体" w:hAnsi="黑体" w:eastAsia="黑体" w:cs="黑体"/>
              </w:rPr>
            </w:pPr>
            <w:r>
              <w:rPr>
                <w:rFonts w:hint="eastAsia" w:ascii="黑体" w:hAnsi="黑体" w:eastAsia="黑体" w:cs="黑体"/>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cs="宋体"/>
              </w:rPr>
            </w:pPr>
            <w:r>
              <w:rPr>
                <w:rFonts w:hint="eastAsia" w:ascii="宋体" w:hAnsi="宋体" w:cs="宋体"/>
              </w:rPr>
              <w:t>城市集中式供水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cs="宋体"/>
              </w:rPr>
            </w:pPr>
            <w:r>
              <w:rPr>
                <w:rFonts w:hint="eastAsia" w:ascii="宋体" w:hAnsi="宋体" w:cs="宋体"/>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cs="宋体"/>
              </w:rPr>
            </w:pPr>
            <w:r>
              <w:rPr>
                <w:rFonts w:hint="eastAsia" w:ascii="宋体" w:hAnsi="宋体" w:cs="宋体"/>
              </w:rPr>
              <w:t>1.持有卫生许可证情况；</w:t>
            </w:r>
          </w:p>
          <w:p>
            <w:pPr>
              <w:spacing w:line="300" w:lineRule="exact"/>
              <w:jc w:val="left"/>
              <w:rPr>
                <w:rFonts w:ascii="宋体" w:hAnsi="宋体" w:cs="宋体"/>
              </w:rPr>
            </w:pPr>
            <w:r>
              <w:rPr>
                <w:rFonts w:hint="eastAsia" w:ascii="宋体" w:hAnsi="宋体" w:cs="宋体"/>
              </w:rPr>
              <w:t>2.水源卫生防护情况；</w:t>
            </w:r>
          </w:p>
          <w:p>
            <w:pPr>
              <w:spacing w:line="300" w:lineRule="exact"/>
              <w:jc w:val="left"/>
              <w:rPr>
                <w:rFonts w:ascii="宋体" w:hAnsi="宋体" w:cs="宋体"/>
              </w:rPr>
            </w:pPr>
            <w:r>
              <w:rPr>
                <w:rFonts w:hint="eastAsia" w:ascii="宋体" w:hAnsi="宋体" w:cs="宋体"/>
              </w:rPr>
              <w:t>3.供管水人员健康体检和培训情况；</w:t>
            </w:r>
          </w:p>
          <w:p>
            <w:pPr>
              <w:spacing w:line="300" w:lineRule="exact"/>
              <w:jc w:val="left"/>
              <w:rPr>
                <w:rFonts w:ascii="宋体" w:hAnsi="宋体" w:cs="宋体"/>
              </w:rPr>
            </w:pPr>
            <w:r>
              <w:rPr>
                <w:rFonts w:hint="eastAsia" w:ascii="宋体" w:hAnsi="宋体" w:cs="宋体"/>
              </w:rPr>
              <w:t>4.涉水产品卫生许可批件情况；</w:t>
            </w:r>
          </w:p>
          <w:p>
            <w:pPr>
              <w:spacing w:line="300" w:lineRule="exact"/>
              <w:rPr>
                <w:rFonts w:ascii="宋体" w:hAnsi="宋体" w:cs="宋体"/>
              </w:rPr>
            </w:pPr>
            <w:r>
              <w:rPr>
                <w:rFonts w:hint="eastAsia" w:ascii="宋体" w:hAnsi="宋体" w:cs="宋体"/>
              </w:rPr>
              <w:t>5.水质消毒情况；</w:t>
            </w:r>
          </w:p>
          <w:p>
            <w:pPr>
              <w:spacing w:line="300" w:lineRule="exact"/>
              <w:jc w:val="left"/>
              <w:rPr>
                <w:rFonts w:ascii="宋体" w:hAnsi="宋体" w:cs="宋体"/>
              </w:rPr>
            </w:pPr>
            <w:r>
              <w:rPr>
                <w:rFonts w:hint="eastAsia" w:ascii="宋体" w:hAnsi="宋体" w:cs="宋体"/>
              </w:rPr>
              <w:t>6.水质自检情况。</w:t>
            </w:r>
            <w:r>
              <w:rPr>
                <w:rFonts w:hint="eastAsia" w:ascii="宋体" w:hAnsi="宋体" w:cs="宋体"/>
                <w:vertAlign w:val="superscript"/>
              </w:rPr>
              <w:t xml:space="preserve">(d) </w:t>
            </w:r>
          </w:p>
        </w:tc>
        <w:tc>
          <w:tcPr>
            <w:tcW w:w="168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cs="宋体"/>
              </w:rPr>
            </w:pPr>
            <w:r>
              <w:rPr>
                <w:rFonts w:hint="eastAsia" w:ascii="宋体" w:hAnsi="宋体" w:cs="宋体"/>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cs="宋体"/>
              </w:rPr>
            </w:pPr>
            <w:r>
              <w:rPr>
                <w:rFonts w:hint="eastAsia" w:ascii="宋体" w:hAnsi="宋体" w:cs="宋体"/>
              </w:rPr>
              <w:t>农村集中式供水</w:t>
            </w:r>
            <w:r>
              <w:rPr>
                <w:rFonts w:hint="eastAsia" w:ascii="宋体" w:hAnsi="宋体" w:cs="宋体"/>
                <w:vertAlign w:val="superscript"/>
              </w:rPr>
              <w:t>(b)</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cs="宋体"/>
              </w:rPr>
            </w:pPr>
            <w:r>
              <w:rPr>
                <w:rFonts w:hint="eastAsia" w:ascii="宋体" w:hAnsi="宋体" w:cs="宋体"/>
              </w:rPr>
              <w:t>辖区农村全部设计日供水1000m</w:t>
            </w:r>
            <w:r>
              <w:rPr>
                <w:rFonts w:hint="eastAsia" w:ascii="宋体" w:hAnsi="宋体" w:cs="宋体"/>
                <w:vertAlign w:val="superscript"/>
              </w:rPr>
              <w:t>3</w:t>
            </w:r>
            <w:r>
              <w:rPr>
                <w:rFonts w:hint="eastAsia" w:ascii="宋体" w:hAnsi="宋体" w:cs="宋体"/>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cs="宋体"/>
              </w:rPr>
            </w:pP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cs="宋体"/>
              </w:rPr>
            </w:pPr>
            <w:r>
              <w:rPr>
                <w:rFonts w:hint="eastAsia" w:ascii="宋体" w:hAnsi="宋体" w:cs="宋体"/>
              </w:rPr>
              <w:t>小型集中式供水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cs="宋体"/>
              </w:rPr>
            </w:pPr>
            <w:r>
              <w:rPr>
                <w:rFonts w:hint="eastAsia" w:ascii="宋体" w:hAnsi="宋体" w:cs="宋体"/>
              </w:rPr>
              <w:t>每个县、县级市辖区在用小型集中式供水的乡镇数的至少30%</w:t>
            </w:r>
            <w:r>
              <w:rPr>
                <w:rFonts w:hint="eastAsia" w:ascii="宋体" w:hAnsi="宋体" w:cs="宋体"/>
                <w:vertAlign w:val="superscript"/>
              </w:rPr>
              <w:t>(c)</w:t>
            </w:r>
            <w:r>
              <w:rPr>
                <w:rFonts w:hint="eastAsia" w:ascii="宋体" w:hAnsi="宋体" w:cs="宋体"/>
              </w:rPr>
              <w:t>，</w:t>
            </w:r>
          </w:p>
          <w:p>
            <w:pPr>
              <w:spacing w:line="300" w:lineRule="exact"/>
              <w:rPr>
                <w:rFonts w:ascii="宋体" w:hAnsi="宋体" w:cs="宋体"/>
              </w:rPr>
            </w:pPr>
            <w:r>
              <w:rPr>
                <w:rFonts w:hint="eastAsia" w:ascii="宋体" w:hAnsi="宋体" w:cs="宋体"/>
              </w:rPr>
              <w:t>每个乡镇抽查30%的设计日供水100m</w:t>
            </w:r>
            <w:r>
              <w:rPr>
                <w:rFonts w:hint="eastAsia" w:ascii="宋体" w:hAnsi="宋体" w:cs="宋体"/>
                <w:vertAlign w:val="superscript"/>
              </w:rPr>
              <w:t>3</w:t>
            </w:r>
            <w:r>
              <w:rPr>
                <w:rFonts w:hint="eastAsia" w:ascii="宋体" w:hAnsi="宋体" w:cs="宋体"/>
              </w:rPr>
              <w:t>以上水厂</w:t>
            </w:r>
            <w:r>
              <w:rPr>
                <w:rFonts w:hint="eastAsia" w:ascii="宋体" w:hAnsi="宋体" w:cs="宋体"/>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cs="宋体"/>
              </w:rPr>
            </w:pPr>
            <w:r>
              <w:rPr>
                <w:rFonts w:hint="eastAsia" w:ascii="宋体" w:hAnsi="宋体" w:cs="宋体"/>
              </w:rPr>
              <w:t>1.饮用水卫生安全巡查服务开展情况；</w:t>
            </w:r>
          </w:p>
          <w:p>
            <w:pPr>
              <w:spacing w:line="300" w:lineRule="exact"/>
              <w:jc w:val="left"/>
              <w:rPr>
                <w:rFonts w:ascii="宋体" w:hAnsi="宋体" w:cs="宋体"/>
              </w:rPr>
            </w:pPr>
            <w:r>
              <w:rPr>
                <w:rFonts w:hint="eastAsia" w:ascii="宋体" w:hAnsi="宋体" w:cs="宋体"/>
              </w:rPr>
              <w:t>2.持有卫生许可证情况；</w:t>
            </w:r>
          </w:p>
          <w:p>
            <w:pPr>
              <w:spacing w:line="300" w:lineRule="exact"/>
              <w:jc w:val="left"/>
              <w:rPr>
                <w:rFonts w:ascii="宋体" w:hAnsi="宋体" w:cs="宋体"/>
              </w:rPr>
            </w:pPr>
            <w:r>
              <w:rPr>
                <w:rFonts w:hint="eastAsia" w:ascii="宋体" w:hAnsi="宋体" w:cs="宋体"/>
              </w:rPr>
              <w:t>3.处罚情况。</w:t>
            </w: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cs="宋体"/>
              </w:rPr>
            </w:pPr>
            <w:r>
              <w:rPr>
                <w:rFonts w:hint="eastAsia" w:ascii="宋体" w:hAnsi="宋体" w:cs="宋体"/>
              </w:rPr>
              <w:t>二次供水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cs="宋体"/>
              </w:rPr>
            </w:pPr>
            <w:r>
              <w:rPr>
                <w:rFonts w:hint="eastAsia" w:ascii="宋体" w:hAnsi="宋体" w:cs="宋体"/>
              </w:rPr>
              <w:t>每个县（区）10个二次供水设施，不足10个的全部检查</w:t>
            </w:r>
            <w:r>
              <w:rPr>
                <w:rFonts w:hint="eastAsia" w:ascii="宋体" w:hAnsi="宋体" w:cs="宋体"/>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cs="宋体"/>
              </w:rPr>
            </w:pPr>
            <w:r>
              <w:rPr>
                <w:rFonts w:hint="eastAsia" w:ascii="宋体" w:hAnsi="宋体" w:cs="宋体"/>
              </w:rPr>
              <w:t>1.供管水人员健康体检和培训情况；</w:t>
            </w:r>
          </w:p>
          <w:p>
            <w:pPr>
              <w:spacing w:line="300" w:lineRule="exact"/>
              <w:jc w:val="left"/>
              <w:rPr>
                <w:rFonts w:ascii="宋体" w:hAnsi="宋体" w:cs="宋体"/>
              </w:rPr>
            </w:pPr>
            <w:r>
              <w:rPr>
                <w:rFonts w:hint="eastAsia" w:ascii="宋体" w:hAnsi="宋体" w:cs="宋体"/>
              </w:rPr>
              <w:t>2.设施防护及周围环境情况；</w:t>
            </w:r>
          </w:p>
          <w:p>
            <w:pPr>
              <w:spacing w:line="300" w:lineRule="exact"/>
              <w:jc w:val="left"/>
              <w:rPr>
                <w:rFonts w:ascii="宋体" w:hAnsi="宋体" w:cs="宋体"/>
              </w:rPr>
            </w:pPr>
            <w:r>
              <w:rPr>
                <w:rFonts w:hint="eastAsia" w:ascii="宋体" w:hAnsi="宋体" w:cs="宋体"/>
              </w:rPr>
              <w:t>3.储水设备定期清洗消毒情况；</w:t>
            </w:r>
          </w:p>
          <w:p>
            <w:pPr>
              <w:spacing w:line="300" w:lineRule="exact"/>
              <w:jc w:val="left"/>
              <w:rPr>
                <w:rFonts w:ascii="宋体" w:hAnsi="宋体" w:cs="宋体"/>
              </w:rPr>
            </w:pPr>
            <w:r>
              <w:rPr>
                <w:rFonts w:hint="eastAsia" w:ascii="宋体" w:hAnsi="宋体" w:cs="宋体"/>
              </w:rPr>
              <w:t>4.水质自检情况；</w:t>
            </w:r>
            <w:r>
              <w:rPr>
                <w:rFonts w:hint="eastAsia" w:ascii="宋体" w:hAnsi="宋体" w:cs="宋体"/>
                <w:vertAlign w:val="superscript"/>
              </w:rPr>
              <w:t>(d)</w:t>
            </w:r>
          </w:p>
          <w:p>
            <w:pPr>
              <w:spacing w:line="300" w:lineRule="exact"/>
              <w:jc w:val="left"/>
              <w:rPr>
                <w:rFonts w:ascii="宋体" w:hAnsi="宋体" w:cs="宋体"/>
              </w:rPr>
            </w:pPr>
            <w:r>
              <w:rPr>
                <w:rFonts w:hint="eastAsia" w:ascii="宋体" w:hAnsi="宋体" w:cs="宋体"/>
              </w:rPr>
              <w:t>5.饮用水卫生安全巡查服务开展情况。</w:t>
            </w:r>
          </w:p>
        </w:tc>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cs="宋体"/>
              </w:rPr>
            </w:pPr>
            <w:r>
              <w:rPr>
                <w:rFonts w:hint="eastAsia" w:ascii="宋体" w:hAnsi="宋体" w:cs="宋体"/>
              </w:rPr>
              <w:t>出水色度、浑浊度、臭和味、肉眼可见物、pH和消毒剂余量</w:t>
            </w:r>
          </w:p>
        </w:tc>
      </w:tr>
    </w:tbl>
    <w:p>
      <w:pPr>
        <w:spacing w:before="120" w:beforeLines="50" w:line="300" w:lineRule="exact"/>
        <w:jc w:val="left"/>
        <w:rPr>
          <w:rFonts w:ascii="宋体" w:hAnsi="宋体" w:cs="宋体"/>
          <w:kern w:val="0"/>
        </w:rPr>
      </w:pPr>
      <w:r>
        <w:rPr>
          <w:rFonts w:hint="eastAsia" w:ascii="宋体" w:hAnsi="宋体" w:cs="宋体"/>
          <w:kern w:val="0"/>
          <w:szCs w:val="21"/>
        </w:rPr>
        <w:t xml:space="preserve">    </w:t>
      </w:r>
      <w:r>
        <w:rPr>
          <w:rFonts w:hint="eastAsia" w:ascii="宋体" w:hAnsi="宋体" w:cs="宋体"/>
          <w:kern w:val="0"/>
        </w:rPr>
        <w:t>a.不含学校内的自建设施集中式供水和二次供水。</w:t>
      </w:r>
    </w:p>
    <w:p>
      <w:pPr>
        <w:spacing w:line="300" w:lineRule="exact"/>
        <w:jc w:val="left"/>
        <w:rPr>
          <w:rFonts w:ascii="宋体" w:hAnsi="宋体" w:cs="宋体"/>
          <w:kern w:val="0"/>
        </w:rPr>
      </w:pPr>
      <w:r>
        <w:rPr>
          <w:rFonts w:hint="eastAsia" w:ascii="宋体" w:hAnsi="宋体" w:cs="宋体"/>
          <w:kern w:val="0"/>
        </w:rPr>
        <w:t xml:space="preserve">    b.农村集中式供水为监督检查信息卡上标记类别为“乡镇”的集中式供水。</w:t>
      </w:r>
    </w:p>
    <w:p>
      <w:pPr>
        <w:spacing w:line="300" w:lineRule="exact"/>
        <w:jc w:val="left"/>
        <w:rPr>
          <w:rFonts w:ascii="宋体" w:hAnsi="宋体" w:cs="宋体"/>
          <w:kern w:val="0"/>
        </w:rPr>
      </w:pPr>
      <w:r>
        <w:rPr>
          <w:rFonts w:hint="eastAsia" w:ascii="宋体" w:hAnsi="宋体" w:cs="宋体"/>
          <w:kern w:val="0"/>
        </w:rPr>
        <w:t xml:space="preserve">    c.各地在综合卫生监督档案、饮用水卫生安全巡查档案或记录以及相关调查资料等信息的基础上自行制定清单并实施双随机抽查。</w:t>
      </w:r>
    </w:p>
    <w:p>
      <w:pPr>
        <w:rPr>
          <w:rFonts w:ascii="华文仿宋" w:hAnsi="华文仿宋" w:eastAsia="华文仿宋" w:cs="宋体"/>
          <w:kern w:val="0"/>
          <w:szCs w:val="21"/>
        </w:rPr>
      </w:pPr>
      <w:r>
        <w:rPr>
          <w:rFonts w:hint="eastAsia" w:ascii="宋体" w:hAnsi="宋体" w:cs="宋体"/>
          <w:kern w:val="0"/>
        </w:rPr>
        <w:t xml:space="preserve">    d.水质自检包括委托检测。</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sectPr>
          <w:footerReference r:id="rId5" w:type="default"/>
          <w:pgSz w:w="16838" w:h="11906" w:orient="landscape"/>
          <w:pgMar w:top="1701" w:right="1701" w:bottom="1418" w:left="1418" w:header="851" w:footer="992"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ﾍﾎ￦ﾖﾇ￤ﾻ﾿￥ﾮﾋ">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F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Title"/>
    <w:basedOn w:val="1"/>
    <w:next w:val="1"/>
    <w:qFormat/>
    <w:uiPriority w:val="0"/>
    <w:pPr>
      <w:spacing w:before="240" w:after="60"/>
      <w:jc w:val="center"/>
      <w:outlineLvl w:val="0"/>
    </w:pPr>
    <w:rPr>
      <w:rFonts w:ascii="Arial" w:hAnsi="Arial" w:eastAsia="宋体" w:cs="Times New Roman"/>
      <w:b/>
      <w:sz w:val="32"/>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2022-07-20T03:56:56Z</dcterms:created>
  <dc:creator>HUAWEI</dc:creator>
  <cp:lastModifiedBy>HUAWEI</cp:lastModifiedBy>
  <dcterms:modified xsi:type="dcterms:W3CDTF">2022-07-20T03:58:59Z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92D7D9F4EEE548F1A2EA57DBE62491BA</vt:lpwstr>
  </property>
</Properties>
</file>