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eastAsia="宋体" w:cs="宋体"/>
          <w:b/>
          <w:bCs w:val="0"/>
          <w:sz w:val="44"/>
          <w:szCs w:val="44"/>
          <w:lang w:val="en"/>
        </w:rPr>
        <w:t>2</w:t>
      </w:r>
      <w:r>
        <w:rPr>
          <w:rFonts w:hint="eastAsia" w:ascii="宋体" w:hAnsi="宋体" w:eastAsia="宋体" w:cs="宋体"/>
          <w:b/>
          <w:bCs w:val="0"/>
          <w:sz w:val="44"/>
          <w:szCs w:val="44"/>
        </w:rPr>
        <w:t>年职业卫生国家随机监督抽查计划</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ascii="黑体" w:hAnsi="黑体" w:eastAsia="黑体" w:cs="黑体"/>
          <w:bCs/>
          <w:sz w:val="32"/>
          <w:szCs w:val="32"/>
        </w:rPr>
      </w:pPr>
      <w:r>
        <w:rPr>
          <w:rFonts w:hint="eastAsia" w:ascii="仿宋_GB2312" w:hAnsi="仿宋_GB2312" w:eastAsia="仿宋_GB2312" w:cs="仿宋_GB2312"/>
          <w:bCs/>
          <w:sz w:val="32"/>
          <w:szCs w:val="32"/>
        </w:rPr>
        <w:t>　　</w:t>
      </w:r>
      <w:r>
        <w:rPr>
          <w:rFonts w:hint="eastAsia" w:ascii="黑体" w:hAnsi="黑体" w:eastAsia="黑体" w:cs="黑体"/>
          <w:bCs/>
          <w:sz w:val="32"/>
          <w:szCs w:val="32"/>
        </w:rPr>
        <w:t>一、检查内容</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用人单位职业卫生国家随机监督抽查。包括建材、化工行业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（二）职业卫生技术服务机构国家随机监督抽查。主要检查职业卫生技术服务机构依照法律、法规和标准规范开展职业卫生技术服务活动情况，职业卫生专业技术人员管理情况。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kern w:val="0"/>
          <w:sz w:val="32"/>
          <w:szCs w:val="32"/>
        </w:rPr>
      </w:pPr>
      <w:r>
        <w:rPr>
          <w:rFonts w:hint="eastAsia" w:ascii="黑体" w:hAnsi="黑体" w:eastAsia="黑体" w:cs="黑体"/>
          <w:kern w:val="0"/>
          <w:sz w:val="32"/>
          <w:szCs w:val="32"/>
        </w:rPr>
        <w:t>二、工作要求</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用人单位职业卫生国家随机监督抽查与广西随机监督抽查计划同步进行，任务在广西卫生监督执法管理平台双随机功能模块统一发放；辖区内注册的职业卫生技术服务机构双随机抽查比例为60%。在对用人单位监督检查过程中，对有关职业卫生技术服务机构提供的职业卫生技术服务进行延伸检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rPr>
        <w:t>　　（二）</w:t>
      </w:r>
      <w:r>
        <w:rPr>
          <w:rFonts w:hint="eastAsia" w:ascii="仿宋_GB2312" w:hAnsi="仿宋_GB2312" w:eastAsia="仿宋_GB2312" w:cs="仿宋_GB2312"/>
          <w:color w:val="auto"/>
          <w:kern w:val="0"/>
          <w:sz w:val="32"/>
          <w:szCs w:val="32"/>
        </w:rPr>
        <w:t>要切实加强对上报数据信息的审核，按照抽查工作计划表及监督信息报告卡要求填报监督检查和案件查处数据信息，所有数据以信息报告系统填报数据为准，不需另外报送纸质报表。于2022年11月30日前完成全部检查任务和数据填报工作</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12月2日前将工作总结电子版和</w:t>
      </w:r>
      <w:r>
        <w:rPr>
          <w:rFonts w:hint="eastAsia" w:ascii="仿宋_GB2312" w:hAnsi="仿宋_GB2312" w:eastAsia="仿宋_GB2312" w:cs="仿宋_GB2312"/>
          <w:color w:val="auto"/>
          <w:sz w:val="32"/>
          <w:szCs w:val="32"/>
        </w:rPr>
        <w:t>纸质</w:t>
      </w:r>
      <w:r>
        <w:rPr>
          <w:rFonts w:hint="eastAsia" w:ascii="仿宋_GB2312" w:hAnsi="仿宋_GB2312" w:eastAsia="仿宋_GB2312" w:cs="仿宋_GB2312"/>
          <w:color w:val="auto"/>
          <w:sz w:val="32"/>
          <w:szCs w:val="32"/>
          <w:lang w:eastAsia="zh-CN"/>
        </w:rPr>
        <w:t>盖章扫描件</w:t>
      </w:r>
      <w:r>
        <w:rPr>
          <w:rFonts w:hint="eastAsia" w:ascii="仿宋_GB2312" w:hAnsi="仿宋_GB2312" w:eastAsia="仿宋_GB2312" w:cs="仿宋_GB2312"/>
          <w:color w:val="auto"/>
          <w:sz w:val="32"/>
          <w:szCs w:val="32"/>
          <w:lang w:val="en-US" w:eastAsia="zh-CN"/>
        </w:rPr>
        <w:t>报送市卫生计生监督所。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联系人及电话：黄伟成，0772-2809483</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hint="eastAsia" w:ascii="仿宋_GB2312" w:hAnsi="仿宋_GB2312" w:eastAsia="仿宋_GB2312" w:cs="仿宋_GB2312"/>
          <w:kern w:val="0"/>
          <w:sz w:val="32"/>
          <w:szCs w:val="32"/>
        </w:rPr>
        <w:t>电子邮箱：</w:t>
      </w:r>
      <w:r>
        <w:rPr>
          <w:rFonts w:hint="eastAsia" w:ascii="仿宋_GB2312" w:hAnsi="Times New Roman" w:eastAsia="仿宋_GB2312"/>
          <w:color w:val="0C0C0C"/>
          <w:kern w:val="0"/>
          <w:sz w:val="32"/>
          <w:szCs w:val="32"/>
        </w:rPr>
        <w:t>lzwsjds11k@163.com</w:t>
      </w:r>
    </w:p>
    <w:p>
      <w:pPr>
        <w:pStyle w:val="3"/>
        <w:keepNext w:val="0"/>
        <w:keepLines w:val="0"/>
        <w:pageBreakBefore w:val="0"/>
        <w:kinsoku/>
        <w:wordWrap/>
        <w:overflowPunct/>
        <w:topLinePunct w:val="0"/>
        <w:autoSpaceDE/>
        <w:autoSpaceDN/>
        <w:bidi w:val="0"/>
        <w:adjustRightInd/>
        <w:snapToGrid/>
        <w:spacing w:before="0" w:after="0" w:line="560" w:lineRule="exact"/>
        <w:textAlignment w:val="auto"/>
        <w:rPr>
          <w:rFonts w:ascii="仿宋_GB2312" w:hAnsi="仿宋_GB2312" w:eastAsia="仿宋_GB2312" w:cs="仿宋_GB231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附表：1.用人单位职业卫生国家随机监督抽查计划表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2.用人单位职业卫生国家随机监督抽查汇总表</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ascii="仿宋_GB2312" w:hAnsi="仿宋_GB2312" w:eastAsia="仿宋_GB2312" w:cs="仿宋_GB2312"/>
          <w:kern w:val="0"/>
          <w:sz w:val="32"/>
          <w:szCs w:val="32"/>
        </w:rPr>
        <w:sectPr>
          <w:pgSz w:w="11906" w:h="16838"/>
          <w:pgMar w:top="1701" w:right="1418" w:bottom="1418" w:left="1701" w:header="851" w:footer="992" w:gutter="0"/>
          <w:cols w:space="720" w:num="1"/>
          <w:docGrid w:linePitch="312" w:charSpace="0"/>
        </w:sectPr>
      </w:pPr>
    </w:p>
    <w:p>
      <w:pPr>
        <w:jc w:val="left"/>
        <w:rPr>
          <w:rFonts w:ascii="黑体" w:hAnsi="黑体" w:eastAsia="黑体" w:cs="黑体"/>
          <w:bCs/>
          <w:sz w:val="32"/>
          <w:szCs w:val="32"/>
        </w:rPr>
      </w:pPr>
      <w:r>
        <w:rPr>
          <w:rFonts w:hint="eastAsia" w:ascii="黑体" w:hAnsi="黑体" w:eastAsia="黑体" w:cs="黑体"/>
          <w:bCs/>
          <w:sz w:val="32"/>
          <w:szCs w:val="32"/>
        </w:rPr>
        <w:t>附表1</w:t>
      </w:r>
    </w:p>
    <w:p>
      <w:pPr>
        <w:jc w:val="center"/>
        <w:outlineLvl w:val="0"/>
        <w:rPr>
          <w:rFonts w:hint="eastAsia" w:ascii="宋体" w:hAnsi="宋体" w:eastAsia="宋体" w:cs="宋体"/>
          <w:b/>
          <w:bCs w:val="0"/>
          <w:sz w:val="44"/>
          <w:szCs w:val="24"/>
        </w:rPr>
      </w:pPr>
      <w:r>
        <w:rPr>
          <w:rFonts w:hint="eastAsia" w:ascii="宋体" w:hAnsi="宋体" w:eastAsia="宋体" w:cs="宋体"/>
          <w:b/>
          <w:bCs w:val="0"/>
          <w:sz w:val="44"/>
          <w:szCs w:val="24"/>
        </w:rPr>
        <w:t>用人单位职业卫生国家随机监督抽查计划表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5"/>
        <w:gridCol w:w="1530"/>
        <w:gridCol w:w="1961"/>
        <w:gridCol w:w="9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blHeader/>
          <w:jc w:val="center"/>
        </w:trPr>
        <w:tc>
          <w:tcPr>
            <w:tcW w:w="175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宋体"/>
                <w:szCs w:val="21"/>
              </w:rPr>
            </w:pPr>
            <w:r>
              <w:rPr>
                <w:rFonts w:hint="eastAsia" w:ascii="黑体" w:hAnsi="黑体" w:eastAsia="黑体" w:cs="宋体"/>
                <w:szCs w:val="21"/>
              </w:rPr>
              <w:t>监督检查对象</w:t>
            </w:r>
          </w:p>
        </w:tc>
        <w:tc>
          <w:tcPr>
            <w:tcW w:w="1530" w:type="dxa"/>
            <w:tcBorders>
              <w:top w:val="single" w:color="000000" w:sz="4" w:space="0"/>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ascii="黑体" w:hAnsi="黑体" w:eastAsia="黑体" w:cs="宋体"/>
                <w:szCs w:val="21"/>
              </w:rPr>
            </w:pPr>
            <w:r>
              <w:rPr>
                <w:rFonts w:hint="eastAsia" w:ascii="黑体" w:hAnsi="黑体" w:eastAsia="黑体" w:cs="宋体"/>
                <w:szCs w:val="21"/>
              </w:rPr>
              <w:t>抽查任务</w:t>
            </w:r>
          </w:p>
        </w:tc>
        <w:tc>
          <w:tcPr>
            <w:tcW w:w="11015" w:type="dxa"/>
            <w:gridSpan w:val="2"/>
            <w:tcBorders>
              <w:top w:val="single" w:color="000000" w:sz="4" w:space="0"/>
              <w:left w:val="single" w:color="000000" w:sz="4" w:space="0"/>
              <w:bottom w:val="single" w:color="000000" w:sz="4" w:space="0"/>
            </w:tcBorders>
            <w:vAlign w:val="center"/>
          </w:tcPr>
          <w:p>
            <w:pPr>
              <w:tabs>
                <w:tab w:val="left" w:pos="6660"/>
              </w:tabs>
              <w:adjustRightInd w:val="0"/>
              <w:snapToGrid w:val="0"/>
              <w:jc w:val="center"/>
              <w:rPr>
                <w:rFonts w:ascii="黑体" w:hAnsi="黑体" w:eastAsia="黑体" w:cs="宋体"/>
                <w:szCs w:val="21"/>
              </w:rPr>
            </w:pPr>
            <w:r>
              <w:rPr>
                <w:rFonts w:hint="eastAsia" w:ascii="黑体" w:hAnsi="黑体" w:eastAsia="黑体" w:cs="宋体"/>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blHeader/>
          <w:jc w:val="center"/>
        </w:trPr>
        <w:tc>
          <w:tcPr>
            <w:tcW w:w="1755" w:type="dxa"/>
            <w:vMerge w:val="restart"/>
            <w:tcBorders>
              <w:top w:val="single" w:color="000000" w:sz="4" w:space="0"/>
              <w:left w:val="single" w:color="000000" w:sz="4" w:space="0"/>
              <w:right w:val="single" w:color="000000" w:sz="4" w:space="0"/>
            </w:tcBorders>
            <w:vAlign w:val="center"/>
          </w:tcPr>
          <w:p>
            <w:pPr>
              <w:tabs>
                <w:tab w:val="left" w:pos="6660"/>
              </w:tabs>
              <w:adjustRightInd w:val="0"/>
              <w:snapToGrid w:val="0"/>
              <w:jc w:val="center"/>
              <w:rPr>
                <w:rFonts w:ascii="黑体" w:hAnsi="黑体" w:eastAsia="黑体" w:cs="宋体"/>
                <w:b/>
                <w:bCs/>
                <w:szCs w:val="21"/>
              </w:rPr>
            </w:pPr>
            <w:r>
              <w:rPr>
                <w:rFonts w:ascii="宋体" w:hAnsi="宋体" w:cs="宋体"/>
                <w:bCs/>
                <w:szCs w:val="21"/>
              </w:rPr>
              <w:t>用人单位</w:t>
            </w:r>
          </w:p>
        </w:tc>
        <w:tc>
          <w:tcPr>
            <w:tcW w:w="1530" w:type="dxa"/>
            <w:vMerge w:val="restart"/>
            <w:tcBorders>
              <w:top w:val="single" w:color="000000" w:sz="4" w:space="0"/>
              <w:left w:val="single" w:color="000000" w:sz="4" w:space="0"/>
              <w:right w:val="single" w:color="000000" w:sz="4" w:space="0"/>
            </w:tcBorders>
            <w:vAlign w:val="center"/>
          </w:tcPr>
          <w:p>
            <w:pPr>
              <w:tabs>
                <w:tab w:val="left" w:pos="6660"/>
              </w:tabs>
              <w:adjustRightInd w:val="0"/>
              <w:snapToGrid w:val="0"/>
              <w:jc w:val="center"/>
              <w:rPr>
                <w:rFonts w:ascii="黑体" w:hAnsi="黑体" w:eastAsia="黑体" w:cs="宋体"/>
                <w:b/>
                <w:bCs/>
                <w:szCs w:val="21"/>
              </w:rPr>
            </w:pPr>
            <w:r>
              <w:rPr>
                <w:rFonts w:hint="eastAsia" w:ascii="宋体" w:hAnsi="宋体" w:cs="宋体"/>
                <w:bCs/>
                <w:szCs w:val="21"/>
              </w:rPr>
              <w:t>用人单位职业卫生国家随机监督抽查与广西随机监督抽查计划同步进行，任务在广西卫生监督执法管理平台双随机功能模块统一发放</w:t>
            </w:r>
          </w:p>
        </w:tc>
        <w:tc>
          <w:tcPr>
            <w:tcW w:w="1961" w:type="dxa"/>
            <w:tcBorders>
              <w:top w:val="single" w:color="000000"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1.职业病防治管理组织和措施</w:t>
            </w:r>
          </w:p>
        </w:tc>
        <w:tc>
          <w:tcPr>
            <w:tcW w:w="9054" w:type="dxa"/>
            <w:tcBorders>
              <w:top w:val="single" w:color="000000"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1.是否按规定设置或者指定职业卫生管理机构或者组织，配备专职或者兼职的职业卫生管理人员；</w:t>
            </w:r>
          </w:p>
          <w:p>
            <w:pPr>
              <w:tabs>
                <w:tab w:val="left" w:pos="6660"/>
              </w:tabs>
              <w:adjustRightInd w:val="0"/>
              <w:snapToGrid w:val="0"/>
              <w:jc w:val="left"/>
              <w:rPr>
                <w:rFonts w:ascii="黑体" w:hAnsi="黑体" w:cs="宋体"/>
                <w:b/>
                <w:bCs/>
                <w:szCs w:val="21"/>
              </w:rPr>
            </w:pPr>
            <w:r>
              <w:rPr>
                <w:rFonts w:hint="eastAsia" w:ascii="宋体" w:hAnsi="宋体" w:cs="宋体"/>
                <w:bCs/>
                <w:szCs w:val="21"/>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blHeader/>
          <w:jc w:val="center"/>
        </w:trPr>
        <w:tc>
          <w:tcPr>
            <w:tcW w:w="1755"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530"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961"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2.职业卫生培训</w:t>
            </w:r>
          </w:p>
        </w:tc>
        <w:tc>
          <w:tcPr>
            <w:tcW w:w="9054"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blHeader/>
          <w:jc w:val="center"/>
        </w:trPr>
        <w:tc>
          <w:tcPr>
            <w:tcW w:w="1755"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530"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961"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3.建设项目职业病防护设施“三同时”</w:t>
            </w:r>
          </w:p>
        </w:tc>
        <w:tc>
          <w:tcPr>
            <w:tcW w:w="9054"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blHeader/>
          <w:jc w:val="center"/>
        </w:trPr>
        <w:tc>
          <w:tcPr>
            <w:tcW w:w="1755"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530"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961"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ascii="宋体" w:hAnsi="宋体" w:cs="宋体"/>
                <w:bCs/>
                <w:szCs w:val="21"/>
              </w:rPr>
              <w:t>*</w:t>
            </w:r>
            <w:r>
              <w:rPr>
                <w:rFonts w:hint="eastAsia" w:ascii="宋体" w:hAnsi="宋体" w:cs="宋体"/>
                <w:bCs/>
                <w:szCs w:val="21"/>
              </w:rPr>
              <w:t>4.职业病危害项目申报</w:t>
            </w:r>
          </w:p>
        </w:tc>
        <w:tc>
          <w:tcPr>
            <w:tcW w:w="9054"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blHeader/>
          <w:jc w:val="center"/>
        </w:trPr>
        <w:tc>
          <w:tcPr>
            <w:tcW w:w="1755"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530"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961"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5.工作场所职业卫生管理</w:t>
            </w:r>
          </w:p>
        </w:tc>
        <w:tc>
          <w:tcPr>
            <w:tcW w:w="9054"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1.是否按规定开展工作场所职业病危害因素监测、检测、评价，是否进行检测结果的报告和公布；</w:t>
            </w:r>
          </w:p>
          <w:p>
            <w:pPr>
              <w:tabs>
                <w:tab w:val="left" w:pos="6660"/>
              </w:tabs>
              <w:adjustRightInd w:val="0"/>
              <w:snapToGrid w:val="0"/>
              <w:jc w:val="left"/>
              <w:rPr>
                <w:rFonts w:ascii="宋体" w:hAnsi="宋体" w:cs="宋体"/>
                <w:bCs/>
                <w:szCs w:val="21"/>
              </w:rPr>
            </w:pPr>
            <w:r>
              <w:rPr>
                <w:rFonts w:hint="eastAsia" w:ascii="宋体" w:hAnsi="宋体" w:cs="宋体"/>
                <w:bCs/>
                <w:szCs w:val="21"/>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blHeader/>
          <w:jc w:val="center"/>
        </w:trPr>
        <w:tc>
          <w:tcPr>
            <w:tcW w:w="1755"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530"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961"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6.职业病危害警示和告知</w:t>
            </w:r>
          </w:p>
        </w:tc>
        <w:tc>
          <w:tcPr>
            <w:tcW w:w="9054"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blHeader/>
          <w:jc w:val="center"/>
        </w:trPr>
        <w:tc>
          <w:tcPr>
            <w:tcW w:w="1755"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530" w:type="dxa"/>
            <w:vMerge w:val="continue"/>
            <w:tcBorders>
              <w:left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961"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7.劳动者职业健康监护</w:t>
            </w:r>
          </w:p>
        </w:tc>
        <w:tc>
          <w:tcPr>
            <w:tcW w:w="9054" w:type="dxa"/>
            <w:tcBorders>
              <w:top w:val="single" w:color="auto" w:sz="4" w:space="0"/>
              <w:left w:val="single" w:color="000000" w:sz="4" w:space="0"/>
              <w:bottom w:val="single" w:color="auto"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blHeader/>
          <w:jc w:val="center"/>
        </w:trPr>
        <w:tc>
          <w:tcPr>
            <w:tcW w:w="1755" w:type="dxa"/>
            <w:vMerge w:val="continue"/>
            <w:tcBorders>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530" w:type="dxa"/>
            <w:vMerge w:val="continue"/>
            <w:tcBorders>
              <w:left w:val="single" w:color="000000" w:sz="4" w:space="0"/>
              <w:bottom w:val="single" w:color="000000" w:sz="4" w:space="0"/>
              <w:right w:val="single" w:color="000000" w:sz="4" w:space="0"/>
            </w:tcBorders>
            <w:vAlign w:val="center"/>
          </w:tcPr>
          <w:p>
            <w:pPr>
              <w:tabs>
                <w:tab w:val="left" w:pos="6660"/>
              </w:tabs>
              <w:adjustRightInd w:val="0"/>
              <w:snapToGrid w:val="0"/>
              <w:jc w:val="center"/>
              <w:rPr>
                <w:rFonts w:ascii="宋体" w:hAnsi="宋体" w:cs="宋体"/>
                <w:bCs/>
                <w:szCs w:val="21"/>
              </w:rPr>
            </w:pPr>
          </w:p>
        </w:tc>
        <w:tc>
          <w:tcPr>
            <w:tcW w:w="1961" w:type="dxa"/>
            <w:tcBorders>
              <w:top w:val="single" w:color="auto" w:sz="4" w:space="0"/>
              <w:left w:val="single" w:color="000000" w:sz="4" w:space="0"/>
              <w:bottom w:val="single" w:color="000000"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8.职业病病人和疑似职业病病人处置</w:t>
            </w:r>
          </w:p>
        </w:tc>
        <w:tc>
          <w:tcPr>
            <w:tcW w:w="9054" w:type="dxa"/>
            <w:tcBorders>
              <w:top w:val="single" w:color="auto" w:sz="4" w:space="0"/>
              <w:left w:val="single" w:color="000000" w:sz="4" w:space="0"/>
              <w:bottom w:val="single" w:color="000000" w:sz="4" w:space="0"/>
            </w:tcBorders>
            <w:vAlign w:val="center"/>
          </w:tcPr>
          <w:p>
            <w:pPr>
              <w:tabs>
                <w:tab w:val="left" w:pos="6660"/>
              </w:tabs>
              <w:adjustRightInd w:val="0"/>
              <w:snapToGrid w:val="0"/>
              <w:jc w:val="left"/>
              <w:rPr>
                <w:rFonts w:ascii="宋体" w:hAnsi="宋体" w:cs="宋体"/>
                <w:bCs/>
                <w:szCs w:val="21"/>
              </w:rPr>
            </w:pPr>
            <w:r>
              <w:rPr>
                <w:rFonts w:hint="eastAsia" w:ascii="宋体" w:hAnsi="宋体" w:cs="宋体"/>
                <w:bCs/>
                <w:szCs w:val="21"/>
              </w:rPr>
              <w:t>1.是否按规定处置职业病人、疑似职业病人；</w:t>
            </w:r>
          </w:p>
          <w:p>
            <w:pPr>
              <w:tabs>
                <w:tab w:val="left" w:pos="6660"/>
              </w:tabs>
              <w:adjustRightInd w:val="0"/>
              <w:snapToGrid w:val="0"/>
              <w:jc w:val="left"/>
              <w:rPr>
                <w:rFonts w:ascii="宋体" w:hAnsi="宋体" w:cs="宋体"/>
                <w:bCs/>
                <w:szCs w:val="21"/>
              </w:rPr>
            </w:pPr>
            <w:r>
              <w:rPr>
                <w:rFonts w:hint="eastAsia" w:ascii="宋体" w:hAnsi="宋体" w:cs="宋体"/>
                <w:bCs/>
                <w:szCs w:val="21"/>
              </w:rPr>
              <w:t>2.是否为劳动者进行职业病诊断提供健康损害与职业史、职业病危害接触关系等相关资料。</w:t>
            </w:r>
          </w:p>
        </w:tc>
      </w:tr>
    </w:tbl>
    <w:p>
      <w:pPr>
        <w:rPr>
          <w:rFonts w:ascii="黑体" w:hAnsi="黑体" w:eastAsia="黑体"/>
          <w:sz w:val="24"/>
          <w:szCs w:val="24"/>
        </w:rPr>
      </w:pPr>
      <w:r>
        <w:rPr>
          <w:rFonts w:ascii="黑体" w:hAnsi="黑体" w:eastAsia="黑体"/>
          <w:sz w:val="24"/>
          <w:szCs w:val="24"/>
        </w:rPr>
        <w:t>注：重点检查内容中“4.职业病危害项目申报”是必查项。</w:t>
      </w:r>
    </w:p>
    <w:p>
      <w:pPr>
        <w:widowControl/>
        <w:adjustRightInd w:val="0"/>
        <w:snapToGrid w:val="0"/>
        <w:spacing w:line="240" w:lineRule="atLeast"/>
        <w:jc w:val="left"/>
        <w:rPr>
          <w:rFonts w:ascii="Times New Roman" w:hAnsi="Times New Roman"/>
          <w:szCs w:val="24"/>
        </w:rPr>
      </w:pPr>
      <w:r>
        <w:rPr>
          <w:rFonts w:ascii="Times New Roman" w:hAnsi="Times New Roman"/>
          <w:szCs w:val="24"/>
        </w:rPr>
        <w:br w:type="page"/>
      </w:r>
      <w:r>
        <w:rPr>
          <w:rFonts w:hint="eastAsia" w:ascii="黑体" w:hAnsi="黑体" w:eastAsia="黑体" w:cs="黑体"/>
          <w:bCs/>
          <w:sz w:val="32"/>
          <w:szCs w:val="32"/>
        </w:rPr>
        <w:t>附表2</w:t>
      </w:r>
    </w:p>
    <w:p>
      <w:pPr>
        <w:jc w:val="center"/>
        <w:outlineLvl w:val="0"/>
        <w:rPr>
          <w:rFonts w:hint="eastAsia" w:ascii="宋体" w:hAnsi="宋体" w:eastAsia="宋体" w:cs="宋体"/>
          <w:b/>
          <w:bCs w:val="0"/>
          <w:sz w:val="44"/>
          <w:szCs w:val="24"/>
        </w:rPr>
      </w:pPr>
      <w:r>
        <w:rPr>
          <w:rFonts w:hint="eastAsia" w:ascii="宋体" w:hAnsi="宋体" w:eastAsia="宋体" w:cs="宋体"/>
          <w:b/>
          <w:bCs w:val="0"/>
          <w:sz w:val="44"/>
          <w:szCs w:val="24"/>
        </w:rPr>
        <w:t>用人单位职业卫生国家随机监督抽查汇总表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401"/>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8" w:type="dxa"/>
            <w:vMerge w:val="restart"/>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用人单位类别</w:t>
            </w:r>
          </w:p>
        </w:tc>
        <w:tc>
          <w:tcPr>
            <w:tcW w:w="401" w:type="dxa"/>
            <w:vMerge w:val="restart"/>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辖区单位数</w:t>
            </w:r>
          </w:p>
        </w:tc>
        <w:tc>
          <w:tcPr>
            <w:tcW w:w="467" w:type="dxa"/>
            <w:vMerge w:val="restart"/>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抽查单位数</w:t>
            </w:r>
          </w:p>
        </w:tc>
        <w:tc>
          <w:tcPr>
            <w:tcW w:w="467" w:type="dxa"/>
            <w:vMerge w:val="restart"/>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不合格单位数</w:t>
            </w:r>
          </w:p>
        </w:tc>
        <w:tc>
          <w:tcPr>
            <w:tcW w:w="8639" w:type="dxa"/>
            <w:gridSpan w:val="11"/>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不合格情况</w:t>
            </w:r>
          </w:p>
        </w:tc>
        <w:tc>
          <w:tcPr>
            <w:tcW w:w="519" w:type="dxa"/>
            <w:vMerge w:val="restart"/>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责令限期改正单位数</w:t>
            </w:r>
          </w:p>
        </w:tc>
        <w:tc>
          <w:tcPr>
            <w:tcW w:w="414" w:type="dxa"/>
            <w:vMerge w:val="restart"/>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行政处罚单位数</w:t>
            </w:r>
          </w:p>
        </w:tc>
        <w:tc>
          <w:tcPr>
            <w:tcW w:w="2472" w:type="dxa"/>
            <w:gridSpan w:val="4"/>
            <w:vMerge w:val="restart"/>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8"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01"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67"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67"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1395" w:type="dxa"/>
            <w:gridSpan w:val="2"/>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职业病防治管理组织和措施</w:t>
            </w:r>
          </w:p>
        </w:tc>
        <w:tc>
          <w:tcPr>
            <w:tcW w:w="725"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职业卫生培训</w:t>
            </w:r>
          </w:p>
        </w:tc>
        <w:tc>
          <w:tcPr>
            <w:tcW w:w="723"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建设项目“三同时”</w:t>
            </w:r>
          </w:p>
        </w:tc>
        <w:tc>
          <w:tcPr>
            <w:tcW w:w="723"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职业病危害项目申报</w:t>
            </w:r>
          </w:p>
        </w:tc>
        <w:tc>
          <w:tcPr>
            <w:tcW w:w="1451" w:type="dxa"/>
            <w:gridSpan w:val="2"/>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工作场所职业卫生管理</w:t>
            </w:r>
          </w:p>
        </w:tc>
        <w:tc>
          <w:tcPr>
            <w:tcW w:w="723"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职业病危害警示和告知</w:t>
            </w:r>
          </w:p>
        </w:tc>
        <w:tc>
          <w:tcPr>
            <w:tcW w:w="889"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劳动者职业健康监护</w:t>
            </w:r>
          </w:p>
        </w:tc>
        <w:tc>
          <w:tcPr>
            <w:tcW w:w="2010" w:type="dxa"/>
            <w:gridSpan w:val="2"/>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职业病病人和疑似职业病病人处置</w:t>
            </w:r>
          </w:p>
        </w:tc>
        <w:tc>
          <w:tcPr>
            <w:tcW w:w="519"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14"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2472" w:type="dxa"/>
            <w:gridSpan w:val="4"/>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01" w:type="dxa"/>
            <w:vMerge w:val="continue"/>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67" w:type="dxa"/>
            <w:vMerge w:val="continue"/>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67" w:type="dxa"/>
            <w:vMerge w:val="continue"/>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671"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职业卫生管理机构或者组织不合格单位数</w:t>
            </w:r>
          </w:p>
        </w:tc>
        <w:tc>
          <w:tcPr>
            <w:tcW w:w="724"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职业卫生管理制度和操作规程不合格单位数</w:t>
            </w:r>
          </w:p>
        </w:tc>
        <w:tc>
          <w:tcPr>
            <w:tcW w:w="725"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职业卫生培训不合格单位数</w:t>
            </w:r>
          </w:p>
        </w:tc>
        <w:tc>
          <w:tcPr>
            <w:tcW w:w="723"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建设项目职业病防护设施“三同时”不合格单位数</w:t>
            </w:r>
          </w:p>
        </w:tc>
        <w:tc>
          <w:tcPr>
            <w:tcW w:w="723"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工作场所职业病危害项目申报不合格单位数</w:t>
            </w:r>
          </w:p>
        </w:tc>
        <w:tc>
          <w:tcPr>
            <w:tcW w:w="723"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工作场所职业病危害因素监测、检测、评价不合格单位数</w:t>
            </w:r>
          </w:p>
        </w:tc>
        <w:tc>
          <w:tcPr>
            <w:tcW w:w="728"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职业病防护设施、应急救援设施、防护用品不合格单位数</w:t>
            </w:r>
          </w:p>
        </w:tc>
        <w:tc>
          <w:tcPr>
            <w:tcW w:w="723"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职业病危害警示和告知不合格单位数</w:t>
            </w:r>
          </w:p>
        </w:tc>
        <w:tc>
          <w:tcPr>
            <w:tcW w:w="889"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劳动者职业健康监护、放射工作人员个人剂量监测不合格单位数</w:t>
            </w:r>
          </w:p>
        </w:tc>
        <w:tc>
          <w:tcPr>
            <w:tcW w:w="988"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职业病病人、疑似职业病病人处置不合格单位数</w:t>
            </w:r>
          </w:p>
        </w:tc>
        <w:tc>
          <w:tcPr>
            <w:tcW w:w="1022"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未为劳动者进行职业病诊断提供健康损害与职业史、职业病危害接触关系等相关资料单位数</w:t>
            </w:r>
          </w:p>
        </w:tc>
        <w:tc>
          <w:tcPr>
            <w:tcW w:w="519"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414" w:type="dxa"/>
            <w:vMerge w:val="continue"/>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p>
        </w:tc>
        <w:tc>
          <w:tcPr>
            <w:tcW w:w="621"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警告单位数</w:t>
            </w:r>
          </w:p>
        </w:tc>
        <w:tc>
          <w:tcPr>
            <w:tcW w:w="621"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罚款（万元）</w:t>
            </w:r>
          </w:p>
        </w:tc>
        <w:tc>
          <w:tcPr>
            <w:tcW w:w="621"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责令停止作业单位数</w:t>
            </w:r>
          </w:p>
        </w:tc>
        <w:tc>
          <w:tcPr>
            <w:tcW w:w="609" w:type="dxa"/>
            <w:vAlign w:val="center"/>
          </w:tcPr>
          <w:p>
            <w:pPr>
              <w:adjustRightInd w:val="0"/>
              <w:snapToGrid w:val="0"/>
              <w:spacing w:line="260" w:lineRule="exact"/>
              <w:ind w:left="-42" w:leftChars="-20" w:right="-42" w:rightChars="-20"/>
              <w:jc w:val="center"/>
              <w:rPr>
                <w:rFonts w:ascii="黑体" w:hAnsi="黑体" w:eastAsia="黑体" w:cs="黑体"/>
                <w:kern w:val="0"/>
                <w:szCs w:val="21"/>
                <w:lang w:bidi="ar"/>
              </w:rPr>
            </w:pPr>
            <w:r>
              <w:rPr>
                <w:rFonts w:hint="eastAsia" w:ascii="黑体" w:hAnsi="黑体" w:eastAsia="黑体" w:cs="黑体"/>
                <w:kern w:val="0"/>
                <w:szCs w:val="21"/>
                <w:lang w:bidi="ar"/>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Align w:val="center"/>
          </w:tcPr>
          <w:p>
            <w:pPr>
              <w:adjustRightInd w:val="0"/>
              <w:snapToGrid w:val="0"/>
              <w:ind w:left="-42" w:leftChars="-20" w:right="-42" w:rightChars="-20"/>
              <w:jc w:val="center"/>
              <w:rPr>
                <w:rFonts w:ascii="宋体" w:hAnsi="宋体" w:cs="宋体"/>
                <w:kern w:val="0"/>
                <w:szCs w:val="21"/>
                <w:lang w:bidi="ar"/>
              </w:rPr>
            </w:pPr>
            <w:r>
              <w:rPr>
                <w:rFonts w:hint="eastAsia" w:ascii="宋体" w:hAnsi="宋体" w:cs="宋体"/>
                <w:kern w:val="0"/>
                <w:szCs w:val="21"/>
                <w:lang w:bidi="ar"/>
              </w:rPr>
              <w:t>建材</w:t>
            </w:r>
          </w:p>
        </w:tc>
        <w:tc>
          <w:tcPr>
            <w:tcW w:w="401"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671" w:type="dxa"/>
          </w:tcPr>
          <w:p>
            <w:pPr>
              <w:adjustRightInd w:val="0"/>
              <w:snapToGrid w:val="0"/>
              <w:ind w:left="-42" w:leftChars="-20" w:right="-42" w:rightChars="-20"/>
              <w:jc w:val="center"/>
              <w:rPr>
                <w:rFonts w:ascii="宋体" w:hAnsi="宋体" w:cs="宋体"/>
                <w:kern w:val="0"/>
                <w:szCs w:val="21"/>
                <w:lang w:bidi="ar"/>
              </w:rPr>
            </w:pPr>
          </w:p>
        </w:tc>
        <w:tc>
          <w:tcPr>
            <w:tcW w:w="724" w:type="dxa"/>
          </w:tcPr>
          <w:p>
            <w:pPr>
              <w:adjustRightInd w:val="0"/>
              <w:snapToGrid w:val="0"/>
              <w:ind w:left="-42" w:leftChars="-20" w:right="-42" w:rightChars="-20"/>
              <w:jc w:val="center"/>
              <w:rPr>
                <w:rFonts w:ascii="宋体" w:hAnsi="宋体" w:cs="宋体"/>
                <w:kern w:val="0"/>
                <w:szCs w:val="21"/>
                <w:lang w:bidi="ar"/>
              </w:rPr>
            </w:pPr>
          </w:p>
        </w:tc>
        <w:tc>
          <w:tcPr>
            <w:tcW w:w="725"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728" w:type="dxa"/>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889" w:type="dxa"/>
          </w:tcPr>
          <w:p>
            <w:pPr>
              <w:adjustRightInd w:val="0"/>
              <w:snapToGrid w:val="0"/>
              <w:ind w:left="-42" w:leftChars="-20" w:right="-42" w:rightChars="-20"/>
              <w:jc w:val="center"/>
              <w:rPr>
                <w:rFonts w:ascii="宋体" w:hAnsi="宋体" w:cs="宋体"/>
                <w:kern w:val="0"/>
                <w:szCs w:val="21"/>
                <w:lang w:bidi="ar"/>
              </w:rPr>
            </w:pPr>
          </w:p>
        </w:tc>
        <w:tc>
          <w:tcPr>
            <w:tcW w:w="988" w:type="dxa"/>
          </w:tcPr>
          <w:p>
            <w:pPr>
              <w:adjustRightInd w:val="0"/>
              <w:snapToGrid w:val="0"/>
              <w:ind w:left="-42" w:leftChars="-20" w:right="-42" w:rightChars="-20"/>
              <w:jc w:val="center"/>
              <w:rPr>
                <w:rFonts w:ascii="宋体" w:hAnsi="宋体" w:cs="宋体"/>
                <w:kern w:val="0"/>
                <w:szCs w:val="21"/>
                <w:lang w:bidi="ar"/>
              </w:rPr>
            </w:pPr>
          </w:p>
        </w:tc>
        <w:tc>
          <w:tcPr>
            <w:tcW w:w="1022" w:type="dxa"/>
          </w:tcPr>
          <w:p>
            <w:pPr>
              <w:adjustRightInd w:val="0"/>
              <w:snapToGrid w:val="0"/>
              <w:ind w:left="-42" w:leftChars="-20" w:right="-42" w:rightChars="-20"/>
              <w:jc w:val="center"/>
              <w:rPr>
                <w:rFonts w:ascii="宋体" w:hAnsi="宋体" w:cs="宋体"/>
                <w:kern w:val="0"/>
                <w:szCs w:val="21"/>
                <w:lang w:bidi="ar"/>
              </w:rPr>
            </w:pPr>
          </w:p>
        </w:tc>
        <w:tc>
          <w:tcPr>
            <w:tcW w:w="519" w:type="dxa"/>
            <w:vAlign w:val="center"/>
          </w:tcPr>
          <w:p>
            <w:pPr>
              <w:adjustRightInd w:val="0"/>
              <w:snapToGrid w:val="0"/>
              <w:ind w:left="-42" w:leftChars="-20" w:right="-42" w:rightChars="-20"/>
              <w:jc w:val="center"/>
              <w:rPr>
                <w:rFonts w:ascii="宋体" w:hAnsi="宋体" w:cs="宋体"/>
                <w:kern w:val="0"/>
                <w:szCs w:val="21"/>
                <w:lang w:bidi="ar"/>
              </w:rPr>
            </w:pPr>
          </w:p>
        </w:tc>
        <w:tc>
          <w:tcPr>
            <w:tcW w:w="414"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09" w:type="dxa"/>
            <w:vAlign w:val="center"/>
          </w:tcPr>
          <w:p>
            <w:pPr>
              <w:adjustRightInd w:val="0"/>
              <w:snapToGrid w:val="0"/>
              <w:ind w:left="-42" w:leftChars="-20" w:right="-42" w:rightChars="-20"/>
              <w:jc w:val="center"/>
              <w:rPr>
                <w:rFonts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Align w:val="center"/>
          </w:tcPr>
          <w:p>
            <w:pPr>
              <w:adjustRightInd w:val="0"/>
              <w:snapToGrid w:val="0"/>
              <w:ind w:left="-42" w:leftChars="-20" w:right="-42" w:rightChars="-20"/>
              <w:jc w:val="center"/>
              <w:rPr>
                <w:rFonts w:ascii="宋体" w:hAnsi="宋体" w:cs="宋体"/>
                <w:kern w:val="0"/>
                <w:szCs w:val="21"/>
                <w:lang w:bidi="ar"/>
              </w:rPr>
            </w:pPr>
            <w:r>
              <w:rPr>
                <w:rFonts w:hint="eastAsia" w:ascii="宋体" w:hAnsi="宋体" w:cs="宋体"/>
                <w:kern w:val="0"/>
                <w:szCs w:val="21"/>
                <w:lang w:bidi="ar"/>
              </w:rPr>
              <w:t>化工</w:t>
            </w:r>
          </w:p>
        </w:tc>
        <w:tc>
          <w:tcPr>
            <w:tcW w:w="401"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671" w:type="dxa"/>
          </w:tcPr>
          <w:p>
            <w:pPr>
              <w:adjustRightInd w:val="0"/>
              <w:snapToGrid w:val="0"/>
              <w:ind w:left="-42" w:leftChars="-20" w:right="-42" w:rightChars="-20"/>
              <w:jc w:val="center"/>
              <w:rPr>
                <w:rFonts w:ascii="宋体" w:hAnsi="宋体" w:cs="宋体"/>
                <w:kern w:val="0"/>
                <w:szCs w:val="21"/>
                <w:lang w:bidi="ar"/>
              </w:rPr>
            </w:pPr>
          </w:p>
        </w:tc>
        <w:tc>
          <w:tcPr>
            <w:tcW w:w="724" w:type="dxa"/>
          </w:tcPr>
          <w:p>
            <w:pPr>
              <w:adjustRightInd w:val="0"/>
              <w:snapToGrid w:val="0"/>
              <w:ind w:left="-42" w:leftChars="-20" w:right="-42" w:rightChars="-20"/>
              <w:jc w:val="center"/>
              <w:rPr>
                <w:rFonts w:ascii="宋体" w:hAnsi="宋体" w:cs="宋体"/>
                <w:kern w:val="0"/>
                <w:szCs w:val="21"/>
                <w:lang w:bidi="ar"/>
              </w:rPr>
            </w:pPr>
          </w:p>
        </w:tc>
        <w:tc>
          <w:tcPr>
            <w:tcW w:w="725"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728" w:type="dxa"/>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889" w:type="dxa"/>
          </w:tcPr>
          <w:p>
            <w:pPr>
              <w:adjustRightInd w:val="0"/>
              <w:snapToGrid w:val="0"/>
              <w:ind w:left="-42" w:leftChars="-20" w:right="-42" w:rightChars="-20"/>
              <w:jc w:val="center"/>
              <w:rPr>
                <w:rFonts w:ascii="宋体" w:hAnsi="宋体" w:cs="宋体"/>
                <w:kern w:val="0"/>
                <w:szCs w:val="21"/>
                <w:lang w:bidi="ar"/>
              </w:rPr>
            </w:pPr>
          </w:p>
        </w:tc>
        <w:tc>
          <w:tcPr>
            <w:tcW w:w="988" w:type="dxa"/>
          </w:tcPr>
          <w:p>
            <w:pPr>
              <w:adjustRightInd w:val="0"/>
              <w:snapToGrid w:val="0"/>
              <w:ind w:left="-42" w:leftChars="-20" w:right="-42" w:rightChars="-20"/>
              <w:jc w:val="center"/>
              <w:rPr>
                <w:rFonts w:ascii="宋体" w:hAnsi="宋体" w:cs="宋体"/>
                <w:kern w:val="0"/>
                <w:szCs w:val="21"/>
                <w:lang w:bidi="ar"/>
              </w:rPr>
            </w:pPr>
          </w:p>
        </w:tc>
        <w:tc>
          <w:tcPr>
            <w:tcW w:w="1022" w:type="dxa"/>
          </w:tcPr>
          <w:p>
            <w:pPr>
              <w:adjustRightInd w:val="0"/>
              <w:snapToGrid w:val="0"/>
              <w:ind w:left="-42" w:leftChars="-20" w:right="-42" w:rightChars="-20"/>
              <w:jc w:val="center"/>
              <w:rPr>
                <w:rFonts w:ascii="宋体" w:hAnsi="宋体" w:cs="宋体"/>
                <w:kern w:val="0"/>
                <w:szCs w:val="21"/>
                <w:lang w:bidi="ar"/>
              </w:rPr>
            </w:pPr>
          </w:p>
        </w:tc>
        <w:tc>
          <w:tcPr>
            <w:tcW w:w="519" w:type="dxa"/>
            <w:vAlign w:val="center"/>
          </w:tcPr>
          <w:p>
            <w:pPr>
              <w:adjustRightInd w:val="0"/>
              <w:snapToGrid w:val="0"/>
              <w:ind w:left="-42" w:leftChars="-20" w:right="-42" w:rightChars="-20"/>
              <w:jc w:val="center"/>
              <w:rPr>
                <w:rFonts w:ascii="宋体" w:hAnsi="宋体" w:cs="宋体"/>
                <w:kern w:val="0"/>
                <w:szCs w:val="21"/>
                <w:lang w:bidi="ar"/>
              </w:rPr>
            </w:pPr>
          </w:p>
        </w:tc>
        <w:tc>
          <w:tcPr>
            <w:tcW w:w="414"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09" w:type="dxa"/>
            <w:vAlign w:val="center"/>
          </w:tcPr>
          <w:p>
            <w:pPr>
              <w:adjustRightInd w:val="0"/>
              <w:snapToGrid w:val="0"/>
              <w:ind w:left="-42" w:leftChars="-20" w:right="-42" w:rightChars="-20"/>
              <w:jc w:val="center"/>
              <w:rPr>
                <w:rFonts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Align w:val="center"/>
          </w:tcPr>
          <w:p>
            <w:pPr>
              <w:adjustRightInd w:val="0"/>
              <w:snapToGrid w:val="0"/>
              <w:ind w:left="-42" w:leftChars="-20" w:right="-42" w:rightChars="-20"/>
              <w:jc w:val="center"/>
              <w:rPr>
                <w:rFonts w:ascii="宋体" w:hAnsi="宋体" w:cs="宋体"/>
                <w:kern w:val="0"/>
                <w:szCs w:val="21"/>
                <w:lang w:bidi="ar"/>
              </w:rPr>
            </w:pPr>
            <w:r>
              <w:rPr>
                <w:rFonts w:hint="eastAsia" w:ascii="宋体" w:hAnsi="宋体" w:cs="宋体"/>
                <w:kern w:val="0"/>
                <w:szCs w:val="21"/>
                <w:lang w:bidi="ar"/>
              </w:rPr>
              <w:t>其他用人</w:t>
            </w:r>
          </w:p>
          <w:p>
            <w:pPr>
              <w:adjustRightInd w:val="0"/>
              <w:snapToGrid w:val="0"/>
              <w:ind w:left="-42" w:leftChars="-20" w:right="-42" w:rightChars="-20"/>
              <w:jc w:val="center"/>
              <w:rPr>
                <w:rFonts w:ascii="宋体" w:hAnsi="宋体" w:cs="宋体"/>
                <w:kern w:val="0"/>
                <w:szCs w:val="21"/>
                <w:lang w:bidi="ar"/>
              </w:rPr>
            </w:pPr>
            <w:r>
              <w:rPr>
                <w:rFonts w:hint="eastAsia" w:ascii="宋体" w:hAnsi="宋体" w:cs="宋体"/>
                <w:kern w:val="0"/>
                <w:szCs w:val="21"/>
                <w:lang w:bidi="ar"/>
              </w:rPr>
              <w:t>单位</w:t>
            </w:r>
          </w:p>
        </w:tc>
        <w:tc>
          <w:tcPr>
            <w:tcW w:w="401"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671" w:type="dxa"/>
          </w:tcPr>
          <w:p>
            <w:pPr>
              <w:adjustRightInd w:val="0"/>
              <w:snapToGrid w:val="0"/>
              <w:ind w:left="-42" w:leftChars="-20" w:right="-42" w:rightChars="-20"/>
              <w:jc w:val="center"/>
              <w:rPr>
                <w:rFonts w:ascii="宋体" w:hAnsi="宋体" w:cs="宋体"/>
                <w:kern w:val="0"/>
                <w:szCs w:val="21"/>
                <w:lang w:bidi="ar"/>
              </w:rPr>
            </w:pPr>
          </w:p>
        </w:tc>
        <w:tc>
          <w:tcPr>
            <w:tcW w:w="724" w:type="dxa"/>
          </w:tcPr>
          <w:p>
            <w:pPr>
              <w:adjustRightInd w:val="0"/>
              <w:snapToGrid w:val="0"/>
              <w:ind w:left="-42" w:leftChars="-20" w:right="-42" w:rightChars="-20"/>
              <w:jc w:val="center"/>
              <w:rPr>
                <w:rFonts w:ascii="宋体" w:hAnsi="宋体" w:cs="宋体"/>
                <w:kern w:val="0"/>
                <w:szCs w:val="21"/>
                <w:lang w:bidi="ar"/>
              </w:rPr>
            </w:pPr>
          </w:p>
        </w:tc>
        <w:tc>
          <w:tcPr>
            <w:tcW w:w="725"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728" w:type="dxa"/>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889" w:type="dxa"/>
          </w:tcPr>
          <w:p>
            <w:pPr>
              <w:adjustRightInd w:val="0"/>
              <w:snapToGrid w:val="0"/>
              <w:ind w:left="-42" w:leftChars="-20" w:right="-42" w:rightChars="-20"/>
              <w:jc w:val="center"/>
              <w:rPr>
                <w:rFonts w:ascii="宋体" w:hAnsi="宋体" w:cs="宋体"/>
                <w:kern w:val="0"/>
                <w:szCs w:val="21"/>
                <w:lang w:bidi="ar"/>
              </w:rPr>
            </w:pPr>
          </w:p>
        </w:tc>
        <w:tc>
          <w:tcPr>
            <w:tcW w:w="988" w:type="dxa"/>
          </w:tcPr>
          <w:p>
            <w:pPr>
              <w:adjustRightInd w:val="0"/>
              <w:snapToGrid w:val="0"/>
              <w:ind w:left="-42" w:leftChars="-20" w:right="-42" w:rightChars="-20"/>
              <w:jc w:val="center"/>
              <w:rPr>
                <w:rFonts w:ascii="宋体" w:hAnsi="宋体" w:cs="宋体"/>
                <w:kern w:val="0"/>
                <w:szCs w:val="21"/>
                <w:lang w:bidi="ar"/>
              </w:rPr>
            </w:pPr>
          </w:p>
        </w:tc>
        <w:tc>
          <w:tcPr>
            <w:tcW w:w="1022" w:type="dxa"/>
          </w:tcPr>
          <w:p>
            <w:pPr>
              <w:adjustRightInd w:val="0"/>
              <w:snapToGrid w:val="0"/>
              <w:ind w:left="-42" w:leftChars="-20" w:right="-42" w:rightChars="-20"/>
              <w:jc w:val="center"/>
              <w:rPr>
                <w:rFonts w:ascii="宋体" w:hAnsi="宋体" w:cs="宋体"/>
                <w:kern w:val="0"/>
                <w:szCs w:val="21"/>
                <w:lang w:bidi="ar"/>
              </w:rPr>
            </w:pPr>
          </w:p>
        </w:tc>
        <w:tc>
          <w:tcPr>
            <w:tcW w:w="519" w:type="dxa"/>
            <w:vAlign w:val="center"/>
          </w:tcPr>
          <w:p>
            <w:pPr>
              <w:adjustRightInd w:val="0"/>
              <w:snapToGrid w:val="0"/>
              <w:ind w:left="-42" w:leftChars="-20" w:right="-42" w:rightChars="-20"/>
              <w:jc w:val="center"/>
              <w:rPr>
                <w:rFonts w:ascii="宋体" w:hAnsi="宋体" w:cs="宋体"/>
                <w:kern w:val="0"/>
                <w:szCs w:val="21"/>
                <w:lang w:bidi="ar"/>
              </w:rPr>
            </w:pPr>
          </w:p>
        </w:tc>
        <w:tc>
          <w:tcPr>
            <w:tcW w:w="414"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09" w:type="dxa"/>
            <w:vAlign w:val="center"/>
          </w:tcPr>
          <w:p>
            <w:pPr>
              <w:adjustRightInd w:val="0"/>
              <w:snapToGrid w:val="0"/>
              <w:ind w:left="-42" w:leftChars="-20" w:right="-42" w:rightChars="-20"/>
              <w:jc w:val="center"/>
              <w:rPr>
                <w:rFonts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8" w:type="dxa"/>
            <w:vAlign w:val="center"/>
          </w:tcPr>
          <w:p>
            <w:pPr>
              <w:adjustRightInd w:val="0"/>
              <w:snapToGrid w:val="0"/>
              <w:ind w:left="-42" w:leftChars="-20" w:right="-42" w:rightChars="-20"/>
              <w:jc w:val="center"/>
              <w:rPr>
                <w:rFonts w:ascii="宋体" w:hAnsi="宋体" w:cs="宋体"/>
                <w:kern w:val="0"/>
                <w:szCs w:val="21"/>
                <w:lang w:bidi="ar"/>
              </w:rPr>
            </w:pPr>
            <w:r>
              <w:rPr>
                <w:rFonts w:hint="eastAsia" w:ascii="宋体" w:hAnsi="宋体" w:cs="宋体"/>
                <w:kern w:val="0"/>
                <w:szCs w:val="21"/>
                <w:lang w:bidi="ar"/>
              </w:rPr>
              <w:t>合计</w:t>
            </w:r>
          </w:p>
        </w:tc>
        <w:tc>
          <w:tcPr>
            <w:tcW w:w="401"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467" w:type="dxa"/>
          </w:tcPr>
          <w:p>
            <w:pPr>
              <w:adjustRightInd w:val="0"/>
              <w:snapToGrid w:val="0"/>
              <w:ind w:left="-42" w:leftChars="-20" w:right="-42" w:rightChars="-20"/>
              <w:jc w:val="center"/>
              <w:rPr>
                <w:rFonts w:ascii="宋体" w:hAnsi="宋体" w:cs="宋体"/>
                <w:kern w:val="0"/>
                <w:szCs w:val="21"/>
                <w:lang w:bidi="ar"/>
              </w:rPr>
            </w:pPr>
          </w:p>
        </w:tc>
        <w:tc>
          <w:tcPr>
            <w:tcW w:w="671" w:type="dxa"/>
          </w:tcPr>
          <w:p>
            <w:pPr>
              <w:adjustRightInd w:val="0"/>
              <w:snapToGrid w:val="0"/>
              <w:ind w:left="-42" w:leftChars="-20" w:right="-42" w:rightChars="-20"/>
              <w:jc w:val="center"/>
              <w:rPr>
                <w:rFonts w:ascii="宋体" w:hAnsi="宋体" w:cs="宋体"/>
                <w:kern w:val="0"/>
                <w:szCs w:val="21"/>
                <w:lang w:bidi="ar"/>
              </w:rPr>
            </w:pPr>
          </w:p>
        </w:tc>
        <w:tc>
          <w:tcPr>
            <w:tcW w:w="724" w:type="dxa"/>
          </w:tcPr>
          <w:p>
            <w:pPr>
              <w:adjustRightInd w:val="0"/>
              <w:snapToGrid w:val="0"/>
              <w:ind w:left="-42" w:leftChars="-20" w:right="-42" w:rightChars="-20"/>
              <w:jc w:val="center"/>
              <w:rPr>
                <w:rFonts w:ascii="宋体" w:hAnsi="宋体" w:cs="宋体"/>
                <w:kern w:val="0"/>
                <w:szCs w:val="21"/>
                <w:lang w:bidi="ar"/>
              </w:rPr>
            </w:pPr>
          </w:p>
        </w:tc>
        <w:tc>
          <w:tcPr>
            <w:tcW w:w="725"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vAlign w:val="center"/>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728" w:type="dxa"/>
          </w:tcPr>
          <w:p>
            <w:pPr>
              <w:adjustRightInd w:val="0"/>
              <w:snapToGrid w:val="0"/>
              <w:ind w:left="-42" w:leftChars="-20" w:right="-42" w:rightChars="-20"/>
              <w:jc w:val="center"/>
              <w:rPr>
                <w:rFonts w:ascii="宋体" w:hAnsi="宋体" w:cs="宋体"/>
                <w:kern w:val="0"/>
                <w:szCs w:val="21"/>
                <w:lang w:bidi="ar"/>
              </w:rPr>
            </w:pPr>
          </w:p>
        </w:tc>
        <w:tc>
          <w:tcPr>
            <w:tcW w:w="723" w:type="dxa"/>
          </w:tcPr>
          <w:p>
            <w:pPr>
              <w:adjustRightInd w:val="0"/>
              <w:snapToGrid w:val="0"/>
              <w:ind w:left="-42" w:leftChars="-20" w:right="-42" w:rightChars="-20"/>
              <w:jc w:val="center"/>
              <w:rPr>
                <w:rFonts w:ascii="宋体" w:hAnsi="宋体" w:cs="宋体"/>
                <w:kern w:val="0"/>
                <w:szCs w:val="21"/>
                <w:lang w:bidi="ar"/>
              </w:rPr>
            </w:pPr>
          </w:p>
        </w:tc>
        <w:tc>
          <w:tcPr>
            <w:tcW w:w="889" w:type="dxa"/>
          </w:tcPr>
          <w:p>
            <w:pPr>
              <w:adjustRightInd w:val="0"/>
              <w:snapToGrid w:val="0"/>
              <w:ind w:left="-42" w:leftChars="-20" w:right="-42" w:rightChars="-20"/>
              <w:jc w:val="center"/>
              <w:rPr>
                <w:rFonts w:ascii="宋体" w:hAnsi="宋体" w:cs="宋体"/>
                <w:kern w:val="0"/>
                <w:szCs w:val="21"/>
                <w:lang w:bidi="ar"/>
              </w:rPr>
            </w:pPr>
          </w:p>
        </w:tc>
        <w:tc>
          <w:tcPr>
            <w:tcW w:w="988" w:type="dxa"/>
          </w:tcPr>
          <w:p>
            <w:pPr>
              <w:adjustRightInd w:val="0"/>
              <w:snapToGrid w:val="0"/>
              <w:ind w:left="-42" w:leftChars="-20" w:right="-42" w:rightChars="-20"/>
              <w:jc w:val="center"/>
              <w:rPr>
                <w:rFonts w:ascii="宋体" w:hAnsi="宋体" w:cs="宋体"/>
                <w:kern w:val="0"/>
                <w:szCs w:val="21"/>
                <w:lang w:bidi="ar"/>
              </w:rPr>
            </w:pPr>
          </w:p>
        </w:tc>
        <w:tc>
          <w:tcPr>
            <w:tcW w:w="1022" w:type="dxa"/>
          </w:tcPr>
          <w:p>
            <w:pPr>
              <w:adjustRightInd w:val="0"/>
              <w:snapToGrid w:val="0"/>
              <w:ind w:left="-42" w:leftChars="-20" w:right="-42" w:rightChars="-20"/>
              <w:jc w:val="center"/>
              <w:rPr>
                <w:rFonts w:ascii="宋体" w:hAnsi="宋体" w:cs="宋体"/>
                <w:kern w:val="0"/>
                <w:szCs w:val="21"/>
                <w:lang w:bidi="ar"/>
              </w:rPr>
            </w:pPr>
          </w:p>
        </w:tc>
        <w:tc>
          <w:tcPr>
            <w:tcW w:w="519" w:type="dxa"/>
            <w:vAlign w:val="center"/>
          </w:tcPr>
          <w:p>
            <w:pPr>
              <w:adjustRightInd w:val="0"/>
              <w:snapToGrid w:val="0"/>
              <w:ind w:left="-42" w:leftChars="-20" w:right="-42" w:rightChars="-20"/>
              <w:jc w:val="center"/>
              <w:rPr>
                <w:rFonts w:ascii="宋体" w:hAnsi="宋体" w:cs="宋体"/>
                <w:kern w:val="0"/>
                <w:szCs w:val="21"/>
                <w:lang w:bidi="ar"/>
              </w:rPr>
            </w:pPr>
          </w:p>
        </w:tc>
        <w:tc>
          <w:tcPr>
            <w:tcW w:w="414"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21" w:type="dxa"/>
          </w:tcPr>
          <w:p>
            <w:pPr>
              <w:adjustRightInd w:val="0"/>
              <w:snapToGrid w:val="0"/>
              <w:ind w:left="-42" w:leftChars="-20" w:right="-42" w:rightChars="-20"/>
              <w:jc w:val="center"/>
              <w:rPr>
                <w:rFonts w:ascii="宋体" w:hAnsi="宋体" w:cs="宋体"/>
                <w:kern w:val="0"/>
                <w:szCs w:val="21"/>
                <w:lang w:bidi="ar"/>
              </w:rPr>
            </w:pPr>
          </w:p>
        </w:tc>
        <w:tc>
          <w:tcPr>
            <w:tcW w:w="621" w:type="dxa"/>
            <w:vAlign w:val="center"/>
          </w:tcPr>
          <w:p>
            <w:pPr>
              <w:adjustRightInd w:val="0"/>
              <w:snapToGrid w:val="0"/>
              <w:ind w:left="-42" w:leftChars="-20" w:right="-42" w:rightChars="-20"/>
              <w:jc w:val="center"/>
              <w:rPr>
                <w:rFonts w:ascii="宋体" w:hAnsi="宋体" w:cs="宋体"/>
                <w:kern w:val="0"/>
                <w:szCs w:val="21"/>
                <w:lang w:bidi="ar"/>
              </w:rPr>
            </w:pPr>
          </w:p>
        </w:tc>
        <w:tc>
          <w:tcPr>
            <w:tcW w:w="609" w:type="dxa"/>
            <w:vAlign w:val="center"/>
          </w:tcPr>
          <w:p>
            <w:pPr>
              <w:adjustRightInd w:val="0"/>
              <w:snapToGrid w:val="0"/>
              <w:ind w:left="-42" w:leftChars="-20" w:right="-42" w:rightChars="-20"/>
              <w:jc w:val="center"/>
              <w:rPr>
                <w:rFonts w:ascii="宋体" w:hAnsi="宋体" w:cs="宋体"/>
                <w:kern w:val="0"/>
                <w:szCs w:val="21"/>
                <w:lang w:bidi="ar"/>
              </w:rPr>
            </w:pPr>
          </w:p>
        </w:tc>
      </w:tr>
    </w:tbl>
    <w:p>
      <w:pPr>
        <w:spacing w:before="217" w:beforeLines="50" w:after="217" w:afterLines="50"/>
        <w:outlineLvl w:val="1"/>
        <w:rPr>
          <w:rFonts w:ascii="宋体" w:hAnsi="宋体" w:cs="宋体"/>
          <w:bCs/>
          <w:kern w:val="0"/>
          <w:sz w:val="24"/>
          <w:szCs w:val="24"/>
        </w:rPr>
        <w:sectPr>
          <w:pgSz w:w="16838" w:h="11906" w:orient="landscape"/>
          <w:pgMar w:top="1701" w:right="1417" w:bottom="1417" w:left="1417" w:header="851" w:footer="992" w:gutter="0"/>
          <w:cols w:space="720" w:num="1"/>
          <w:docGrid w:type="lines" w:linePitch="435" w:charSpace="0"/>
        </w:sectPr>
      </w:pPr>
      <w:r>
        <w:rPr>
          <w:rFonts w:hint="eastAsia" w:ascii="宋体" w:hAnsi="宋体" w:cs="宋体"/>
          <w:bCs/>
          <w:sz w:val="24"/>
          <w:szCs w:val="24"/>
        </w:rPr>
        <w:t>填报单位：                             填报人：                  联系电话：</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7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Calibri"/>
      <w:sz w:val="18"/>
      <w:szCs w:val="18"/>
    </w:rPr>
  </w:style>
  <w:style w:type="paragraph" w:styleId="3">
    <w:name w:val="Title"/>
    <w:basedOn w:val="1"/>
    <w:next w:val="1"/>
    <w:qFormat/>
    <w:uiPriority w:val="0"/>
    <w:pPr>
      <w:spacing w:before="240" w:after="60"/>
      <w:jc w:val="center"/>
      <w:outlineLvl w:val="0"/>
    </w:pPr>
    <w:rPr>
      <w:rFonts w:ascii="Arial" w:hAnsi="Arial" w:eastAsia="宋体" w:cs="Times New Roman"/>
      <w:b/>
      <w:sz w:val="32"/>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2022-07-20T03:59:54Z</dcterms:created>
  <dc:creator>HUAWEI</dc:creator>
  <cp:lastModifiedBy>HUAWEI</cp:lastModifiedBy>
  <dcterms:modified xsi:type="dcterms:W3CDTF">2022-07-20T04:00:00Z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A98C3ED36D3F4CD6B697E7146BA50B75</vt:lpwstr>
  </property>
</Properties>
</file>