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7" w:hRule="atLeast"/>
        </w:trPr>
        <w:tc>
          <w:tcPr>
            <w:tcW w:w="852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84"/>
                <w:szCs w:val="84"/>
              </w:rPr>
            </w:pPr>
            <w:r>
              <w:rPr>
                <w:rFonts w:hint="eastAsia" w:ascii="黑体" w:hAnsi="宋体" w:eastAsia="黑体"/>
                <w:b/>
                <w:bCs/>
                <w:sz w:val="84"/>
                <w:szCs w:val="84"/>
              </w:rPr>
              <w:t>绩效自评</w:t>
            </w:r>
            <w:r>
              <w:rPr>
                <w:rFonts w:hint="eastAsia" w:ascii="黑体" w:eastAsia="黑体"/>
                <w:b/>
                <w:sz w:val="84"/>
                <w:szCs w:val="84"/>
              </w:rPr>
              <w:t>报告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ind w:left="2158" w:leftChars="456" w:hanging="1200" w:hangingChars="500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资金名称：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关于提前下达2019年自治区对市县部分一般性转移支付资金的通知》（桂财预﹝2018﹞252号）（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2019年度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ind w:left="2155" w:leftChars="1026" w:firstLine="0" w:firstLineChars="0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《 关于下达2019年革命老区转移支付增量资金的通知》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（桂财预﹝2019﹞105号）（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2019年度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  <w:t>鹿寨县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财政局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月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一、转移支付资金管理</w:t>
      </w:r>
      <w:r>
        <w:rPr>
          <w:rFonts w:hint="eastAsia" w:ascii="黑体" w:hAnsi="黑体" w:eastAsia="黑体"/>
          <w:sz w:val="32"/>
          <w:szCs w:val="32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（一）转移支付资金制度建设情况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left="0" w:firstLine="640" w:firstLineChars="200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2019年以来，为加强对财政专项扶贫资金和革命老区转移支付资金的管理，我县完善出台了《鹿寨县财政专项扶贫资金管理办法》（</w:t>
      </w:r>
      <w:r>
        <w:rPr>
          <w:rFonts w:hint="eastAsia" w:ascii="仿宋_GB2312" w:hAnsi="宋体" w:eastAsia="仿宋_GB2312"/>
          <w:bCs/>
          <w:spacing w:val="-8"/>
          <w:sz w:val="32"/>
          <w:szCs w:val="32"/>
        </w:rPr>
        <w:t>鹿政办发〔2017〕85号</w:t>
      </w:r>
      <w:r>
        <w:rPr>
          <w:rFonts w:hint="eastAsia" w:ascii="仿宋_GB2312" w:hAnsi="宋体" w:eastAsia="仿宋_GB2312"/>
          <w:bCs/>
          <w:spacing w:val="-8"/>
          <w:sz w:val="32"/>
          <w:szCs w:val="32"/>
          <w:lang w:eastAsia="zh-CN"/>
        </w:rPr>
        <w:t>），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进一步规范资金使用管理，确保项目安排精准，资金使用精准，有效杜绝在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资金使用管理工作中</w:t>
      </w:r>
      <w:r>
        <w:rPr>
          <w:rFonts w:hint="eastAsia" w:ascii="仿宋_GB2312" w:hAnsi="仿宋" w:eastAsia="仿宋_GB2312" w:cs="宋体"/>
          <w:sz w:val="32"/>
          <w:szCs w:val="32"/>
        </w:rPr>
        <w:t>出现吃拿卡要、截留私分、挤占挪用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、资金套取、资金闲置</w:t>
      </w:r>
      <w:r>
        <w:rPr>
          <w:rFonts w:hint="eastAsia" w:ascii="仿宋_GB2312" w:hAnsi="仿宋" w:eastAsia="仿宋_GB2312" w:cs="宋体"/>
          <w:sz w:val="32"/>
          <w:szCs w:val="32"/>
        </w:rPr>
        <w:t>等问题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转移支付资金规模、项目安排、投资总规模等情况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2019年我县获得自治区革命老区转移支付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资金共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495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。安排项目四类，其中：基础设施道路项目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5个5.24公里142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；桥涵改造项目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1个25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；村屯亮化太阳能路灯项目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2批15个村屯318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；文体活动中心项目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1个10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转移支付资金使用情况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</w:rPr>
        <w:t>在落实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项目资金</w:t>
      </w:r>
      <w:r>
        <w:rPr>
          <w:rFonts w:hint="eastAsia" w:ascii="仿宋_GB2312" w:hAnsi="仿宋" w:eastAsia="仿宋_GB2312" w:cs="宋体"/>
          <w:sz w:val="32"/>
          <w:szCs w:val="32"/>
        </w:rPr>
        <w:t>时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严格依法依规申报、公示公告、政府采购、招投标等工作程序办理，</w:t>
      </w:r>
      <w:r>
        <w:rPr>
          <w:rFonts w:hint="eastAsia" w:ascii="仿宋_GB2312" w:hAnsi="仿宋" w:eastAsia="仿宋_GB2312" w:cs="宋体"/>
          <w:sz w:val="32"/>
          <w:szCs w:val="32"/>
        </w:rPr>
        <w:t>未出现不作为、乱作为、优亲厚友等现象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，所有项目当年安排当年建设完工并交付使用，当年资金当年使用完毕，未有结转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结余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资金，只有预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留5%项目质量保证金。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我县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革命老区转移支付资金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运行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、使用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范、投向符合规定，各种制度健全，资金产生的经济效益、社会效益明显。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pacing w:line="560" w:lineRule="exact"/>
        <w:ind w:leftChars="200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二、绩效评价指标自评分析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宋体" w:eastAsia="仿宋_GB2312"/>
          <w:bCs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 xml:space="preserve"> 制度机制建设</w:t>
      </w:r>
      <w:r>
        <w:rPr>
          <w:rFonts w:hint="eastAsia" w:ascii="仿宋_GB2312" w:hAnsi="黑体" w:eastAsia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我县制定了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《鹿寨县财政专项扶贫资金管理办法》（</w:t>
      </w:r>
      <w:r>
        <w:rPr>
          <w:rFonts w:hint="eastAsia" w:ascii="仿宋_GB2312" w:hAnsi="宋体" w:eastAsia="仿宋_GB2312"/>
          <w:bCs/>
          <w:spacing w:val="-8"/>
          <w:sz w:val="32"/>
          <w:szCs w:val="32"/>
        </w:rPr>
        <w:t>鹿政办发〔2017〕85号</w:t>
      </w:r>
      <w:r>
        <w:rPr>
          <w:rFonts w:hint="eastAsia" w:ascii="仿宋_GB2312" w:hAnsi="宋体" w:eastAsia="仿宋_GB2312"/>
          <w:bCs/>
          <w:spacing w:val="-8"/>
          <w:sz w:val="32"/>
          <w:szCs w:val="32"/>
          <w:lang w:eastAsia="zh-CN"/>
        </w:rPr>
        <w:t>），项目申报经过必要的可行性研究论证、集体决策，由财政部门牵头对项目进行监督检查和绩效评价。自评分</w:t>
      </w:r>
      <w:r>
        <w:rPr>
          <w:rFonts w:hint="eastAsia" w:ascii="仿宋_GB2312" w:hAnsi="宋体" w:eastAsia="仿宋_GB2312"/>
          <w:bCs/>
          <w:spacing w:val="-8"/>
          <w:sz w:val="32"/>
          <w:szCs w:val="32"/>
          <w:lang w:val="en-US" w:eastAsia="zh-CN"/>
        </w:rPr>
        <w:t>13分。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11" w:firstLineChars="200"/>
        <w:textAlignment w:val="auto"/>
        <w:rPr>
          <w:rFonts w:hint="eastAsia" w:ascii="仿宋_GB2312" w:hAnsi="宋体" w:eastAsia="仿宋_GB2312"/>
          <w:bCs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pacing w:val="-8"/>
          <w:sz w:val="32"/>
          <w:szCs w:val="32"/>
          <w:lang w:val="en-US" w:eastAsia="zh-CN"/>
        </w:rPr>
        <w:t>2.项目管理。</w:t>
      </w:r>
      <w:r>
        <w:rPr>
          <w:rFonts w:hint="eastAsia" w:ascii="仿宋_GB2312" w:hAnsi="宋体" w:eastAsia="仿宋_GB2312"/>
          <w:bCs/>
          <w:spacing w:val="-8"/>
          <w:sz w:val="32"/>
          <w:szCs w:val="32"/>
          <w:lang w:val="en-US" w:eastAsia="zh-CN"/>
        </w:rPr>
        <w:t>申报项目能及时报同级政府或上级财政部门审定，项目批复后能及时落实到主管部门或项目单位，按照评审、政府采购、合同签订、工程监理、竣工验收等相关程序进行全程管理，建设内容明确、清晰、准确、编制产出、效果、满意度绩效指标。自评分26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11" w:firstLineChars="200"/>
        <w:textAlignment w:val="auto"/>
        <w:rPr>
          <w:rFonts w:hint="eastAsia" w:ascii="仿宋_GB2312" w:hAnsi="宋体" w:eastAsia="仿宋_GB2312"/>
          <w:bCs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pacing w:val="-8"/>
          <w:sz w:val="32"/>
          <w:szCs w:val="32"/>
          <w:lang w:val="en-US" w:eastAsia="zh-CN"/>
        </w:rPr>
        <w:t>3.资金管理。</w:t>
      </w:r>
      <w:r>
        <w:rPr>
          <w:rFonts w:hint="eastAsia" w:ascii="仿宋_GB2312" w:hAnsi="宋体" w:eastAsia="仿宋_GB2312"/>
          <w:bCs/>
          <w:spacing w:val="-8"/>
          <w:sz w:val="32"/>
          <w:szCs w:val="32"/>
          <w:lang w:val="en-US" w:eastAsia="zh-CN"/>
        </w:rPr>
        <w:t>截至当年12月31日我县转移支付支出进度达到94%，资金按照合同约定或项目施工进度拨付到项目单位，资金在转移支付管理办法规定的方向、范围、标准、用途内使用，项目按财务核算管理规定及时、准确核算。自评分27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11" w:firstLineChars="200"/>
        <w:textAlignment w:val="auto"/>
        <w:rPr>
          <w:rFonts w:hint="eastAsia" w:ascii="仿宋_GB2312" w:hAnsi="宋体" w:eastAsia="仿宋_GB2312"/>
          <w:bCs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pacing w:val="-8"/>
          <w:sz w:val="32"/>
          <w:szCs w:val="32"/>
          <w:lang w:val="en-US" w:eastAsia="zh-CN"/>
        </w:rPr>
        <w:t>4.产出。</w:t>
      </w:r>
      <w:r>
        <w:rPr>
          <w:rFonts w:hint="eastAsia" w:ascii="仿宋_GB2312" w:hAnsi="宋体" w:eastAsia="仿宋_GB2312"/>
          <w:bCs/>
          <w:spacing w:val="-8"/>
          <w:sz w:val="32"/>
          <w:szCs w:val="32"/>
          <w:lang w:val="en-US" w:eastAsia="zh-CN"/>
        </w:rPr>
        <w:t>截至当年12月31日我县项目完成程度按项目个数计算达到100%；截至当年12月31日我县项目完成程度按投资规模计算达</w:t>
      </w:r>
      <w:r>
        <w:rPr>
          <w:rFonts w:hint="eastAsia" w:ascii="仿宋_GB2312" w:hAnsi="宋体" w:eastAsia="仿宋_GB2312"/>
          <w:bCs/>
          <w:color w:val="auto"/>
          <w:spacing w:val="-8"/>
          <w:sz w:val="32"/>
          <w:szCs w:val="32"/>
          <w:highlight w:val="none"/>
          <w:lang w:val="en-US" w:eastAsia="zh-CN"/>
        </w:rPr>
        <w:t>到90%</w:t>
      </w:r>
      <w:r>
        <w:rPr>
          <w:rFonts w:hint="eastAsia" w:ascii="仿宋_GB2312" w:hAnsi="宋体" w:eastAsia="仿宋_GB2312"/>
          <w:bCs/>
          <w:spacing w:val="-8"/>
          <w:sz w:val="32"/>
          <w:szCs w:val="32"/>
          <w:lang w:val="en-US" w:eastAsia="zh-CN"/>
        </w:rPr>
        <w:t>，项目完成计划工程量均验收合格，投资按计划投资额进行。自评分19分。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11" w:firstLineChars="200"/>
        <w:textAlignment w:val="auto"/>
        <w:rPr>
          <w:rFonts w:hint="default" w:ascii="仿宋_GB2312" w:hAnsi="宋体" w:eastAsia="仿宋_GB2312"/>
          <w:bCs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pacing w:val="-8"/>
          <w:sz w:val="32"/>
          <w:szCs w:val="32"/>
          <w:lang w:val="en-US" w:eastAsia="zh-CN"/>
        </w:rPr>
        <w:t>5.效果。</w:t>
      </w:r>
      <w:r>
        <w:rPr>
          <w:rFonts w:hint="eastAsia" w:ascii="仿宋_GB2312" w:hAnsi="宋体" w:eastAsia="仿宋_GB2312"/>
          <w:bCs/>
          <w:spacing w:val="-8"/>
          <w:sz w:val="32"/>
          <w:szCs w:val="32"/>
          <w:lang w:val="en-US" w:eastAsia="zh-CN"/>
        </w:rPr>
        <w:t>项目的投入达到预期政策目标，后续维护运转投入得到保障，建立使用者意见（满意度）反馈机制。自评分15分。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</w:rPr>
        <w:t>主要经验及做法、存在的问题和建议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（一）主要经验及做法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严格项目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申报和公示公告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程序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革命老区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项目的编报采取自下而上的编报程序，由行政村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申报，</w:t>
      </w:r>
      <w:r>
        <w:rPr>
          <w:rFonts w:hint="eastAsia" w:ascii="仿宋_GB2312" w:hAnsi="仿宋_GB2312" w:eastAsia="仿宋_GB2312" w:cs="仿宋_GB2312"/>
          <w:sz w:val="32"/>
          <w:szCs w:val="32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，县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老区</w:t>
      </w:r>
      <w:r>
        <w:rPr>
          <w:rFonts w:hint="eastAsia" w:ascii="仿宋_GB2312" w:hAnsi="仿宋_GB2312" w:eastAsia="仿宋_GB2312" w:cs="仿宋_GB2312"/>
          <w:sz w:val="32"/>
          <w:szCs w:val="32"/>
        </w:rPr>
        <w:t>办审核，建立项目库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。我县在项目实施过程中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严格按照《广西壮族自治区扶贫资金项目公告公示制度实施办法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2018年修订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》（桂扶领发〔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文件要求，将所有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革命老区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项目资金在县政府门户网站，扶贫办网站、项目所在地乡镇、行政村和自然村（屯）公开栏公示项目资金使用情况，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增强资金和项目透明度，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接受社会和群众监督。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严格项目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招投标程序。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我县在基础设施项目招投标工作中严格按照《</w:t>
      </w:r>
      <w:r>
        <w:rPr>
          <w:rFonts w:hint="eastAsia" w:ascii="仿宋_GB2312" w:hAnsi="仿宋_GB2312" w:eastAsia="仿宋_GB2312" w:cs="仿宋_GB2312"/>
          <w:sz w:val="32"/>
          <w:szCs w:val="32"/>
        </w:rPr>
        <w:t>鹿寨县人民政府关于进一步规范全县招标投标工作的意见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（鹿政发〔201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〕2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7号和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《鹿寨县“十三五”脱贫攻坚通自然村（屯）道路建设实施方案》（鹿政办发〔2017〕26号）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文件要求进招投标工作，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对单个项目评审价超过200万元的，由县政府平台公司按工程建设程序进行代建；单个项目评审价不足200万元的，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</w:rPr>
        <w:t>就近原则捆绑后依法依规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委托招标代理机构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进行公开招投标，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太阳能路灯项目一律走政府采购程序进行实施，保证了工程项目的公开、公平、公正，阳光操作。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加强监管，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保质量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了确保项目建设质量，我们依法实行招标确定项目设计单位、监理单位和第三方质量检测单位，对项目进行全过程质量监督；同时建立健全工程质量自检体系，要求施工单位制定明确的岗位质量责任制，对工程质量全过程控制，最终确保了项目质量和资金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工程完工后，由第三方质量检测单位对项目进行竣工验收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加强资金监管，确保资金使用安全。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基础设施项目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签订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合同并进场施工后，由项目单位申请，经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县扶贫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财政局审核后，预拨30%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启动资金，工程按进度拨付项目款（付款程序：施工单位申请-监理单位意见-项目股监管人、负责人审批-财务出纳、会计审批-分管领导审批-主要领导审批）。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对所有的项目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预留5%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的质量保证金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。项目竣工后，由项目单位申请，会同财政等有关单位组成验收组对项目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初步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验收，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第三方质量检测单位对项目进行竣工验收，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对验收不合格的项目，一律不拨最后一笔款。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资金管理和项目管理中存在的问题</w:t>
      </w:r>
    </w:p>
    <w:p>
      <w:pPr>
        <w:keepNext w:val="0"/>
        <w:keepLines w:val="0"/>
        <w:pageBreakBefore w:val="0"/>
        <w:tabs>
          <w:tab w:val="left" w:pos="6676"/>
          <w:tab w:val="left" w:pos="7416"/>
        </w:tabs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通屯道路建设需要占用大量土地，在施工中沿路部份村屯群众不支持，特别是跨乡镇和跨村屯的群众不让地，并提出过高要求，增加工作难度，影响工程进度，造成资金拨付进度缓慢。 </w:t>
      </w:r>
    </w:p>
    <w:p>
      <w:pPr>
        <w:keepNext w:val="0"/>
        <w:keepLines w:val="0"/>
        <w:pageBreakBefore w:val="0"/>
        <w:tabs>
          <w:tab w:val="left" w:pos="6676"/>
          <w:tab w:val="left" w:pos="7416"/>
        </w:tabs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随着经济社会的发展，人民对美好生活的需求越来越高，但是边远山区交通信息闭塞，生产生活条件相对落后，是制约当地经济社会发展的重要因素之一，由于县级财政紧缺，请上级党委政府多关心多支持边远山区，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特别是革命老区建设，让老区人民同全国人民一道同步进入小康社会。</w:t>
      </w:r>
    </w:p>
    <w:p>
      <w:pPr>
        <w:keepNext w:val="0"/>
        <w:keepLines w:val="0"/>
        <w:pageBreakBefore w:val="0"/>
        <w:tabs>
          <w:tab w:val="left" w:pos="6676"/>
          <w:tab w:val="left" w:pos="7416"/>
        </w:tabs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1940"/>
    <w:multiLevelType w:val="singleLevel"/>
    <w:tmpl w:val="338C194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94B53"/>
    <w:rsid w:val="3F463C3A"/>
    <w:rsid w:val="4B3034B8"/>
    <w:rsid w:val="4B361420"/>
    <w:rsid w:val="525E4FB8"/>
    <w:rsid w:val="61894B53"/>
    <w:rsid w:val="639E7C59"/>
    <w:rsid w:val="647C3D95"/>
    <w:rsid w:val="6E0557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0"/>
    <w:basedOn w:val="1"/>
    <w:qFormat/>
    <w:uiPriority w:val="0"/>
    <w:pPr>
      <w:widowControl/>
      <w:snapToGrid w:val="0"/>
      <w:spacing w:line="365" w:lineRule="atLeast"/>
      <w:ind w:left="1"/>
      <w:jc w:val="both"/>
    </w:pPr>
    <w:rPr>
      <w:rFonts w:ascii="Calibri" w:hAnsi="Calibri" w:cs="Times New Roman"/>
      <w:color w:val="auto"/>
      <w:sz w:val="20"/>
      <w:szCs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2020-03-17T09:25:00Z</dcterms:created>
  <dc:creator>Administrator</dc:creator>
  <cp:lastModifiedBy>Administrator</cp:lastModifiedBy>
  <dcterms:modified xsi:type="dcterms:W3CDTF">2020-04-01T00:31:27Z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