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lang w:val="en-US" w:eastAsia="zh-CN"/>
        </w:rPr>
        <w:t>鹿寨县</w:t>
      </w:r>
      <w:r>
        <w:rPr>
          <w:rFonts w:hint="eastAsia" w:ascii="黑体" w:hAnsi="黑体" w:eastAsia="黑体"/>
          <w:bCs/>
          <w:color w:val="000000"/>
          <w:sz w:val="52"/>
          <w:szCs w:val="52"/>
          <w:u w:val="none"/>
          <w:lang w:eastAsia="zh-CN"/>
        </w:rPr>
        <w:t>投资促进中心</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鹿寨县投资促进中心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鹿寨县投资促进中心</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鹿寨县投资促进中</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鹿寨县投资促进中心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1、贯彻执行国家和自治区、柳州市有关对外开放、利用外资的方针、政策、法规。</w:t>
      </w:r>
    </w:p>
    <w:p>
      <w:pPr>
        <w:ind w:firstLine="646"/>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2、承办鹿寨县招商引资中的各项具体事宜，调查、研究全县招商引资、投资软环境建设工作情况，负责向县委、县人民政府提出促进招商引资、改善投资软环境方面重大问题的建议；配合有关部门协调做好投资软环境建设的有关工作。</w:t>
      </w:r>
    </w:p>
    <w:p>
      <w:pPr>
        <w:ind w:firstLine="646"/>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3、受县人民政府委托，牵头组织全区性重大对外招商引资活动；指导和协调全县赴境外举办招商活动；负责国内区域间经济技术合作、对口支援的日常工作。</w:t>
      </w:r>
    </w:p>
    <w:p>
      <w:pPr>
        <w:ind w:firstLine="646"/>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4、负责策划、组织实施鹿寨县组团参加国内外重大的投资洽谈活动；负责对来我县进行项目投资的考察团、来访者的接洽工作。牵头负责鹿寨县组织的投资、合作项目的洽谈、签约和跟踪、协调、服务工作。</w:t>
      </w:r>
    </w:p>
    <w:p>
      <w:pPr>
        <w:ind w:firstLine="646"/>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5、负责制定全县招商引资年度及长远工作计划，负责检查、核实全县年度招商引资的实施和完成情况。负责检查全县招商引资政策的落实情况。</w:t>
      </w:r>
    </w:p>
    <w:p>
      <w:pPr>
        <w:ind w:firstLine="646"/>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6、根据鹿寨县经济发展规划，建立和管理全县招商项目数据库，组织开展有关项目前期工作，协调项目的储备工作，建立和管理“鹿寨县招商网”，发布招商引资信息，开展网络招商；负责全县招商引资有关数据统计；注意研究、分析国内外投资政策、投资方向及招商引资动态，向县领导及有关部门提供招商投资信息、通报招商引资情况及提出工作建议。</w:t>
      </w:r>
    </w:p>
    <w:p>
      <w:pPr>
        <w:ind w:firstLine="646"/>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7、为社会提供招商及投资咨询，协调解决和处理投资者在经营活动中遇到的困难，对投资者反映的重大问题，向县委、县政府及时反映并提出建议。在办理投诉事务中负责协助调查、督查、协调等工作。</w:t>
      </w:r>
    </w:p>
    <w:p>
      <w:pPr>
        <w:ind w:firstLine="646"/>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8、负责与上级主管招商引资、投资促进工作部门的业务联系，指导、督促政府各部门、各乡镇开展招商引资工作。</w:t>
      </w:r>
    </w:p>
    <w:p>
      <w:pPr>
        <w:ind w:firstLine="646"/>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9、承办县人民政府交办的其他事项。</w:t>
      </w:r>
    </w:p>
    <w:p>
      <w:pPr>
        <w:ind w:firstLine="646"/>
      </w:pPr>
      <w:r>
        <w:rPr>
          <w:rFonts w:hint="eastAsia" w:ascii="仿宋_GB2312" w:eastAsia="仿宋_GB2312"/>
          <w:sz w:val="32"/>
          <w:szCs w:val="32"/>
        </w:rPr>
        <w:t>二、部门决算单位构成</w:t>
      </w:r>
    </w:p>
    <w:p>
      <w:pPr>
        <w:ind w:firstLine="645"/>
      </w:pPr>
      <w:r>
        <w:rPr>
          <w:rFonts w:hint="eastAsia" w:ascii="仿宋_GB2312" w:eastAsia="仿宋_GB2312"/>
          <w:sz w:val="32"/>
          <w:szCs w:val="32"/>
          <w:lang w:eastAsia="zh-CN"/>
        </w:rPr>
        <w:t>无。</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both"/>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鹿寨县投资促进中心</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none"/>
          <w:lang w:eastAsia="zh-CN"/>
        </w:rPr>
        <w:t>鹿寨县投资促进中心</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鹿寨县投资促进中心</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759.42</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759.42</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2664.01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77.82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759.42</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507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200.86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eastAsia="仿宋_GB2312" w:cs="仿宋_GB2312"/>
          <w:bCs/>
          <w:color w:val="auto"/>
          <w:kern w:val="0"/>
          <w:sz w:val="32"/>
          <w:szCs w:val="32"/>
        </w:rPr>
        <w:t>3171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：今年无政府性基金</w:t>
      </w:r>
      <w:r>
        <w:rPr>
          <w:rFonts w:hint="eastAsia" w:ascii="仿宋_GB2312" w:eastAsia="仿宋_GB2312" w:cs="仿宋_GB2312"/>
          <w:kern w:val="0"/>
          <w:sz w:val="32"/>
          <w:szCs w:val="32"/>
        </w:rPr>
        <w:t>预算财政拨款收入</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759.42</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759.42</w:t>
      </w:r>
      <w:r>
        <w:rPr>
          <w:rFonts w:hint="eastAsia" w:ascii="仿宋_GB2312" w:eastAsia="仿宋_GB2312" w:cs="仿宋_GB2312"/>
          <w:kern w:val="0"/>
          <w:sz w:val="32"/>
          <w:szCs w:val="32"/>
        </w:rPr>
        <w:t xml:space="preserve">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2664.01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77.82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723.01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工资、安置补助等科目。</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504.41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230.75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：今年新增安置补助费</w:t>
      </w:r>
      <w:r>
        <w:rPr>
          <w:rFonts w:hint="eastAsia" w:ascii="仿宋_GB2312" w:hAnsi="黑体" w:eastAsia="仿宋_GB2312" w:cs="仿宋_GB2312"/>
          <w:kern w:val="0"/>
          <w:sz w:val="32"/>
          <w:szCs w:val="32"/>
          <w:lang w:val="en-US" w:eastAsia="zh-CN"/>
        </w:rPr>
        <w:t>300万元。</w:t>
      </w:r>
      <w:r>
        <w:rPr>
          <w:rFonts w:hint="eastAsia" w:ascii="仿宋_GB2312" w:eastAsia="仿宋_GB2312" w:cs="仿宋_GB2312"/>
          <w:bCs/>
          <w:kern w:val="0"/>
          <w:sz w:val="32"/>
          <w:szCs w:val="32"/>
        </w:rPr>
        <w:t>社会保障和就业支出</w:t>
      </w:r>
      <w:r>
        <w:rPr>
          <w:rFonts w:hint="eastAsia" w:ascii="仿宋_GB2312" w:eastAsia="仿宋_GB2312" w:cs="仿宋_GB2312"/>
          <w:bCs/>
          <w:kern w:val="0"/>
          <w:sz w:val="32"/>
          <w:szCs w:val="32"/>
          <w:lang w:val="en-US" w:eastAsia="zh-CN"/>
        </w:rPr>
        <w:t>12.36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降低</w:t>
      </w:r>
      <w:r>
        <w:rPr>
          <w:rFonts w:hint="eastAsia" w:ascii="仿宋_GB2312" w:eastAsia="仿宋_GB2312" w:cs="仿宋_GB2312"/>
          <w:bCs/>
          <w:kern w:val="0"/>
          <w:sz w:val="32"/>
          <w:szCs w:val="32"/>
          <w:lang w:val="en-US" w:eastAsia="zh-CN"/>
        </w:rPr>
        <w:t>14.28%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val="en-US" w:eastAsia="zh-CN"/>
        </w:rPr>
        <w:t>7.46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降低</w:t>
      </w:r>
      <w:r>
        <w:rPr>
          <w:rFonts w:hint="eastAsia" w:ascii="仿宋_GB2312" w:eastAsia="仿宋_GB2312" w:cs="仿宋_GB2312"/>
          <w:bCs/>
          <w:kern w:val="0"/>
          <w:sz w:val="32"/>
          <w:szCs w:val="32"/>
          <w:lang w:val="en-US" w:eastAsia="zh-CN"/>
        </w:rPr>
        <w:t>39.64</w:t>
      </w:r>
      <w:r>
        <w:rPr>
          <w:rFonts w:ascii="仿宋_GB2312" w:eastAsia="仿宋_GB2312" w:cs="仿宋_GB2312"/>
          <w:bCs/>
          <w:kern w:val="0"/>
          <w:sz w:val="32"/>
          <w:szCs w:val="32"/>
        </w:rPr>
        <w:t>%</w:t>
      </w:r>
      <w:r>
        <w:rPr>
          <w:rFonts w:hint="eastAsia" w:ascii="仿宋_GB2312" w:eastAsia="仿宋_GB2312" w:cs="仿宋_GB2312"/>
          <w:bCs/>
          <w:kern w:val="0"/>
          <w:sz w:val="32"/>
          <w:szCs w:val="32"/>
        </w:rPr>
        <w:t>；住房保障支出</w:t>
      </w:r>
      <w:r>
        <w:rPr>
          <w:rFonts w:hint="eastAsia" w:ascii="仿宋_GB2312" w:eastAsia="仿宋_GB2312" w:cs="仿宋_GB2312"/>
          <w:bCs/>
          <w:kern w:val="0"/>
          <w:sz w:val="32"/>
          <w:szCs w:val="32"/>
          <w:lang w:val="en-US" w:eastAsia="zh-CN"/>
        </w:rPr>
        <w:t>11.97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19</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lang w:val="en-US" w:eastAsia="zh-CN"/>
        </w:rPr>
        <w:t>4.61万元，增加100%。</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759.42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2664.01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下降</w:t>
      </w:r>
      <w:r>
        <w:rPr>
          <w:rFonts w:hint="eastAsia" w:ascii="仿宋_GB2312" w:hAnsi="黑体" w:eastAsia="仿宋_GB2312" w:cs="仿宋_GB2312"/>
          <w:kern w:val="0"/>
          <w:sz w:val="32"/>
          <w:szCs w:val="32"/>
          <w:lang w:val="en-US" w:eastAsia="zh-CN"/>
        </w:rPr>
        <w:t>77.82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191.81</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567.61</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244.48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759.42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310.63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723.01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723.01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社会保障和就业支出。</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12.36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12.36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卫生健康支出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7.46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7.46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s="仿宋_GB2312"/>
          <w:kern w:val="0"/>
          <w:sz w:val="32"/>
          <w:szCs w:val="32"/>
          <w:lang w:eastAsia="zh-CN"/>
        </w:rPr>
        <w:t>（四）</w:t>
      </w:r>
      <w:r>
        <w:rPr>
          <w:rFonts w:hint="eastAsia" w:ascii="仿宋_GB2312" w:eastAsia="仿宋_GB2312" w:cs="仿宋_GB2312"/>
          <w:kern w:val="0"/>
          <w:sz w:val="32"/>
          <w:szCs w:val="32"/>
        </w:rPr>
        <w:t>住房保障支出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11.97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11.97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lang w:eastAsia="zh-CN"/>
        </w:rPr>
        <w:t>（五）其他支出。</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4.61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4.61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191.81</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left="638" w:leftChars="304" w:firstLine="0" w:firstLineChars="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120.45</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66.75</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left="638" w:leftChars="304" w:firstLine="0" w:firstLineChars="0"/>
        <w:jc w:val="left"/>
        <w:rPr>
          <w:rFonts w:hint="eastAsia" w:ascii="仿宋_GB2312" w:eastAsia="仿宋_GB2312"/>
          <w:bCs/>
          <w:kern w:val="0"/>
          <w:sz w:val="32"/>
          <w:szCs w:val="32"/>
        </w:rPr>
      </w:pPr>
      <w:r>
        <w:rPr>
          <w:rFonts w:hint="eastAsia" w:ascii="仿宋_GB2312" w:eastAsia="仿宋_GB2312"/>
          <w:bCs/>
          <w:kern w:val="0"/>
          <w:sz w:val="32"/>
          <w:szCs w:val="32"/>
          <w:lang w:eastAsia="zh-CN"/>
        </w:rPr>
        <w:t>（三）对个人和家庭的补助支出</w:t>
      </w:r>
      <w:r>
        <w:rPr>
          <w:rFonts w:hint="eastAsia" w:ascii="仿宋_GB2312" w:eastAsia="仿宋_GB2312"/>
          <w:bCs/>
          <w:kern w:val="0"/>
          <w:sz w:val="32"/>
          <w:szCs w:val="32"/>
          <w:lang w:val="en-US" w:eastAsia="zh-CN"/>
        </w:rPr>
        <w:t>1.16万元，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left="638" w:leftChars="304" w:firstLine="0" w:firstLineChars="0"/>
        <w:jc w:val="left"/>
        <w:rPr>
          <w:rFonts w:hint="default" w:ascii="黑体" w:hAnsi="黑体" w:eastAsia="黑体" w:cs="仿宋_GB2312"/>
          <w:kern w:val="0"/>
          <w:sz w:val="32"/>
          <w:szCs w:val="32"/>
          <w:lang w:val="en-US" w:eastAsia="zh-CN"/>
        </w:rPr>
      </w:pPr>
      <w:r>
        <w:rPr>
          <w:rFonts w:hint="eastAsia" w:ascii="仿宋_GB2312" w:eastAsia="仿宋_GB2312"/>
          <w:bCs/>
          <w:kern w:val="0"/>
          <w:sz w:val="32"/>
          <w:szCs w:val="32"/>
          <w:lang w:val="en-US" w:eastAsia="zh-CN"/>
        </w:rPr>
        <w:t>（四）资本性支出3.45万元，</w:t>
      </w:r>
      <w:r>
        <w:rPr>
          <w:rFonts w:hint="eastAsia" w:ascii="仿宋_GB2312" w:eastAsia="仿宋_GB2312"/>
          <w:bCs/>
          <w:kern w:val="0"/>
          <w:sz w:val="32"/>
          <w:szCs w:val="32"/>
          <w:lang w:eastAsia="zh-CN"/>
        </w:rPr>
        <w:t>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鹿寨县投资促进中心</w:t>
      </w:r>
      <w:r>
        <w:rPr>
          <w:rFonts w:hint="eastAsia" w:ascii="仿宋_GB2312" w:eastAsia="仿宋_GB2312" w:cs="仿宋_GB2312"/>
          <w:kern w:val="0"/>
          <w:sz w:val="32"/>
          <w:szCs w:val="32"/>
          <w:lang w:val="en-US" w:eastAsia="zh-CN"/>
        </w:rPr>
        <w:t>2021年度没有政府性基金收入，也没有政府性基金安排的支出，故无数据情况说明。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鹿寨县投资促进中心202</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年度没有国有资本经营预算财政拨款收入，也没有国有资本经营预算财政拨款安排的支出，故无数据情况说明。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1.91</w:t>
      </w:r>
      <w:r>
        <w:rPr>
          <w:rFonts w:hint="eastAsia" w:ascii="仿宋_GB2312" w:eastAsia="仿宋_GB2312" w:cs="仿宋_GB2312"/>
          <w:kern w:val="0"/>
          <w:sz w:val="32"/>
          <w:szCs w:val="32"/>
        </w:rPr>
        <w:t xml:space="preserve"> 万元，主要原因是</w:t>
      </w:r>
      <w:r>
        <w:rPr>
          <w:rFonts w:hint="eastAsia" w:ascii="仿宋_GB2312" w:eastAsia="仿宋_GB2312" w:cs="仿宋_GB2312"/>
          <w:bCs/>
          <w:kern w:val="0"/>
          <w:sz w:val="32"/>
          <w:szCs w:val="32"/>
        </w:rPr>
        <w:t>认真贯彻落实中央“八项规定”精神和厉行节约要求，进一步从严控制“三公”经费开支，全年</w:t>
      </w:r>
      <w:r>
        <w:rPr>
          <w:rFonts w:hint="eastAsia" w:ascii="仿宋_GB2312" w:eastAsia="仿宋_GB2312" w:cs="仿宋_GB2312"/>
          <w:bCs/>
          <w:kern w:val="0"/>
          <w:sz w:val="32"/>
          <w:szCs w:val="32"/>
          <w:lang w:eastAsia="zh-CN"/>
        </w:rPr>
        <w:t>按计划</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70.19</w:t>
      </w:r>
      <w:r>
        <w:rPr>
          <w:rFonts w:hint="eastAsia" w:ascii="仿宋_GB2312" w:eastAsia="仿宋_GB2312" w:cs="仿宋_GB2312"/>
          <w:kern w:val="0"/>
          <w:sz w:val="32"/>
          <w:szCs w:val="32"/>
        </w:rPr>
        <w:t>万元，比年初预算数增加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55.27</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370.44</w:t>
      </w:r>
      <w:r>
        <w:rPr>
          <w:rFonts w:hint="eastAsia" w:ascii="仿宋_GB2312" w:eastAsia="仿宋_GB2312" w:cs="仿宋_GB2312"/>
          <w:kern w:val="0"/>
          <w:sz w:val="32"/>
          <w:szCs w:val="32"/>
        </w:rPr>
        <w:t xml:space="preserve"> %。主要原因是：办公设施设备购置经费增加、人员编制数量增加</w:t>
      </w:r>
      <w:r>
        <w:rPr>
          <w:rFonts w:hint="eastAsia" w:ascii="仿宋_GB2312" w:eastAsia="仿宋_GB2312" w:cs="仿宋_GB2312"/>
          <w:kern w:val="0"/>
          <w:sz w:val="32"/>
          <w:szCs w:val="32"/>
          <w:lang w:eastAsia="zh-CN"/>
        </w:rPr>
        <w:t>以及新增委托业务费</w:t>
      </w:r>
      <w:r>
        <w:rPr>
          <w:rFonts w:hint="eastAsia" w:ascii="仿宋_GB2312" w:eastAsia="仿宋_GB2312" w:cs="仿宋_GB2312"/>
          <w:kern w:val="0"/>
          <w:sz w:val="32"/>
          <w:szCs w:val="32"/>
          <w:lang w:val="en-US" w:eastAsia="zh-CN"/>
        </w:rPr>
        <w:t>52.14万元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3.45</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3.45</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759.42</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个政府性基金预算项目支出开展绩效自评，共涉及资金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共组织对“</w:t>
      </w:r>
      <w:r>
        <w:rPr>
          <w:rFonts w:hint="eastAsia" w:ascii="仿宋_GB2312" w:eastAsia="仿宋_GB2312" w:cs="仿宋_GB2312"/>
          <w:kern w:val="0"/>
          <w:sz w:val="32"/>
          <w:szCs w:val="32"/>
          <w:lang w:eastAsia="zh-CN"/>
        </w:rPr>
        <w:t>招商引资专项经费</w:t>
      </w:r>
      <w:r>
        <w:rPr>
          <w:rFonts w:hint="eastAsia" w:ascii="仿宋_GB2312" w:eastAsia="仿宋_GB2312" w:cs="仿宋_GB2312"/>
          <w:kern w:val="0"/>
          <w:sz w:val="32"/>
          <w:szCs w:val="32"/>
        </w:rPr>
        <w:t>”项目进行了部门评价，涉及一般公共预算支出</w:t>
      </w:r>
      <w:r>
        <w:rPr>
          <w:rFonts w:hint="eastAsia" w:ascii="仿宋_GB2312" w:eastAsia="仿宋_GB2312" w:cs="仿宋_GB2312"/>
          <w:kern w:val="0"/>
          <w:sz w:val="32"/>
          <w:szCs w:val="32"/>
          <w:lang w:val="en-US" w:eastAsia="zh-CN"/>
        </w:rPr>
        <w:t>56</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spacing w:line="580" w:lineRule="exact"/>
        <w:ind w:firstLine="645"/>
        <w:rPr>
          <w:rFonts w:hint="eastAsia" w:ascii="仿宋_GB2312" w:eastAsia="仿宋_GB2312"/>
          <w:b/>
          <w:sz w:val="32"/>
          <w:szCs w:val="32"/>
        </w:rPr>
        <w:sectPr>
          <w:pgSz w:w="11906" w:h="16838"/>
          <w:pgMar w:top="1440" w:right="1797" w:bottom="1440" w:left="1797" w:header="851" w:footer="992" w:gutter="0"/>
          <w:pgNumType w:fmt="numberInDash"/>
          <w:cols w:space="720" w:num="1"/>
          <w:docGrid w:type="lines" w:linePitch="312" w:charSpace="0"/>
        </w:sectPr>
      </w:pPr>
    </w:p>
    <w:tbl>
      <w:tblPr>
        <w:tblW w:w="17700" w:type="dxa"/>
        <w:tblInd w:w="0" w:type="dxa"/>
        <w:shd w:val="clear"/>
        <w:tblLayout w:type="fixed"/>
        <w:tblCellMar>
          <w:top w:w="0" w:type="dxa"/>
          <w:left w:w="0" w:type="dxa"/>
          <w:bottom w:w="0" w:type="dxa"/>
          <w:right w:w="0" w:type="dxa"/>
        </w:tblCellMar>
      </w:tblPr>
      <w:tblGrid>
        <w:gridCol w:w="972"/>
        <w:gridCol w:w="972"/>
        <w:gridCol w:w="1013"/>
        <w:gridCol w:w="2592"/>
        <w:gridCol w:w="689"/>
        <w:gridCol w:w="3591"/>
        <w:gridCol w:w="3524"/>
        <w:gridCol w:w="1080"/>
        <w:gridCol w:w="1539"/>
        <w:gridCol w:w="1728"/>
      </w:tblGrid>
      <w:tr>
        <w:tblPrEx>
          <w:shd w:val="clear"/>
          <w:tblLayout w:type="fixed"/>
          <w:tblCellMar>
            <w:top w:w="0" w:type="dxa"/>
            <w:left w:w="0" w:type="dxa"/>
            <w:bottom w:w="0" w:type="dxa"/>
            <w:right w:w="0" w:type="dxa"/>
          </w:tblCellMar>
        </w:tblPrEx>
        <w:trPr>
          <w:trHeight w:val="300" w:hRule="atLeast"/>
        </w:trPr>
        <w:tc>
          <w:tcPr>
            <w:tcW w:w="1944" w:type="dxa"/>
            <w:gridSpan w:val="2"/>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bookmarkStart w:id="0" w:name="_GoBack"/>
            <w:bookmarkEnd w:id="0"/>
          </w:p>
        </w:tc>
        <w:tc>
          <w:tcPr>
            <w:tcW w:w="1013"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592"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9"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591"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524"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39"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28"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8" w:hRule="atLeast"/>
        </w:trPr>
        <w:tc>
          <w:tcPr>
            <w:tcW w:w="17700" w:type="dxa"/>
            <w:gridSpan w:val="10"/>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2021年鹿寨县预算项目支出绩效自评表</w:t>
            </w:r>
          </w:p>
        </w:tc>
      </w:tr>
      <w:tr>
        <w:tblPrEx>
          <w:tblLayout w:type="fixed"/>
          <w:tblCellMar>
            <w:top w:w="0" w:type="dxa"/>
            <w:left w:w="0" w:type="dxa"/>
            <w:bottom w:w="0" w:type="dxa"/>
            <w:right w:w="0" w:type="dxa"/>
          </w:tblCellMar>
        </w:tblPrEx>
        <w:trPr>
          <w:trHeight w:val="280" w:hRule="atLeast"/>
        </w:trPr>
        <w:tc>
          <w:tcPr>
            <w:tcW w:w="1944" w:type="dxa"/>
            <w:gridSpan w:val="2"/>
            <w:tcBorders>
              <w:top w:val="nil"/>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单位（盖章）：</w:t>
            </w:r>
          </w:p>
        </w:tc>
        <w:tc>
          <w:tcPr>
            <w:tcW w:w="1013"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592"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689"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3591"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3524"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39"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728"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14743" w:type="dxa"/>
            <w:gridSpan w:val="7"/>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招商引资专项经费</w:t>
            </w:r>
          </w:p>
        </w:tc>
      </w:tr>
      <w:tr>
        <w:tblPrEx>
          <w:tblLayout w:type="fixed"/>
          <w:tblCellMar>
            <w:top w:w="0" w:type="dxa"/>
            <w:left w:w="0" w:type="dxa"/>
            <w:bottom w:w="0" w:type="dxa"/>
            <w:right w:w="0" w:type="dxa"/>
          </w:tblCellMar>
        </w:tblPrEx>
        <w:trPr>
          <w:trHeight w:val="30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w:t>
            </w:r>
          </w:p>
        </w:tc>
        <w:tc>
          <w:tcPr>
            <w:tcW w:w="6872"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7871"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项目实施单位：鹿寨县投资促进中心</w:t>
            </w:r>
          </w:p>
        </w:tc>
      </w:tr>
      <w:tr>
        <w:tblPrEx>
          <w:tblLayout w:type="fixed"/>
          <w:tblCellMar>
            <w:top w:w="0" w:type="dxa"/>
            <w:left w:w="0" w:type="dxa"/>
            <w:bottom w:w="0" w:type="dxa"/>
            <w:right w:w="0" w:type="dxa"/>
          </w:tblCellMar>
        </w:tblPrEx>
        <w:trPr>
          <w:trHeight w:val="400" w:hRule="atLeast"/>
        </w:trPr>
        <w:tc>
          <w:tcPr>
            <w:tcW w:w="2957"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项目资金执行情况（万元）</w:t>
            </w: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调整预算数（A）</w:t>
            </w:r>
          </w:p>
        </w:tc>
        <w:tc>
          <w:tcPr>
            <w:tcW w:w="3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全年执行数（B）</w:t>
            </w:r>
          </w:p>
        </w:tc>
        <w:tc>
          <w:tcPr>
            <w:tcW w:w="434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预算资金执行率（B/A)</w:t>
            </w:r>
          </w:p>
        </w:tc>
      </w:tr>
      <w:tr>
        <w:tblPrEx>
          <w:tblLayout w:type="fixed"/>
          <w:tblCellMar>
            <w:top w:w="0" w:type="dxa"/>
            <w:left w:w="0" w:type="dxa"/>
            <w:bottom w:w="0" w:type="dxa"/>
            <w:right w:w="0" w:type="dxa"/>
          </w:tblCellMar>
        </w:tblPrEx>
        <w:trPr>
          <w:trHeight w:val="3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年度资金总额：</w:t>
            </w:r>
          </w:p>
        </w:tc>
        <w:tc>
          <w:tcPr>
            <w:tcW w:w="359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82</w:t>
            </w:r>
          </w:p>
        </w:tc>
        <w:tc>
          <w:tcPr>
            <w:tcW w:w="352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56</w:t>
            </w:r>
          </w:p>
        </w:tc>
        <w:tc>
          <w:tcPr>
            <w:tcW w:w="434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68.3</w:t>
            </w:r>
          </w:p>
        </w:tc>
      </w:tr>
      <w:tr>
        <w:tblPrEx>
          <w:tblLayout w:type="fixed"/>
          <w:tblCellMar>
            <w:top w:w="0" w:type="dxa"/>
            <w:left w:w="0" w:type="dxa"/>
            <w:bottom w:w="0" w:type="dxa"/>
            <w:right w:w="0" w:type="dxa"/>
          </w:tblCellMar>
        </w:tblPrEx>
        <w:trPr>
          <w:trHeight w:val="3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bdr w:val="none" w:color="auto" w:sz="0" w:space="0"/>
                <w:lang w:val="en-US" w:eastAsia="zh-CN" w:bidi="ar"/>
              </w:rPr>
              <w:t xml:space="preserve"> </w:t>
            </w:r>
            <w:r>
              <w:rPr>
                <w:rStyle w:val="13"/>
                <w:bdr w:val="none" w:color="auto" w:sz="0" w:space="0"/>
                <w:lang w:val="en-US" w:eastAsia="zh-CN" w:bidi="ar"/>
              </w:rPr>
              <w:t xml:space="preserve">   其中：一般公共预算</w:t>
            </w:r>
          </w:p>
        </w:tc>
        <w:tc>
          <w:tcPr>
            <w:tcW w:w="359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82</w:t>
            </w:r>
          </w:p>
        </w:tc>
        <w:tc>
          <w:tcPr>
            <w:tcW w:w="352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w:t>
            </w:r>
          </w:p>
        </w:tc>
        <w:tc>
          <w:tcPr>
            <w:tcW w:w="434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68.3</w:t>
            </w:r>
          </w:p>
        </w:tc>
      </w:tr>
      <w:tr>
        <w:tblPrEx>
          <w:tblLayout w:type="fixed"/>
          <w:tblCellMar>
            <w:top w:w="0" w:type="dxa"/>
            <w:left w:w="0" w:type="dxa"/>
            <w:bottom w:w="0" w:type="dxa"/>
            <w:right w:w="0" w:type="dxa"/>
          </w:tblCellMar>
        </w:tblPrEx>
        <w:trPr>
          <w:trHeight w:val="3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政府性基金预算</w:t>
            </w:r>
          </w:p>
        </w:tc>
        <w:tc>
          <w:tcPr>
            <w:tcW w:w="359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352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434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w:t>
            </w:r>
          </w:p>
        </w:tc>
      </w:tr>
      <w:tr>
        <w:tblPrEx>
          <w:tblLayout w:type="fixed"/>
          <w:tblCellMar>
            <w:top w:w="0" w:type="dxa"/>
            <w:left w:w="0" w:type="dxa"/>
            <w:bottom w:w="0" w:type="dxa"/>
            <w:right w:w="0" w:type="dxa"/>
          </w:tblCellMar>
        </w:tblPrEx>
        <w:trPr>
          <w:trHeight w:val="4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国有资本经营预算</w:t>
            </w:r>
          </w:p>
        </w:tc>
        <w:tc>
          <w:tcPr>
            <w:tcW w:w="359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352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434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w:t>
            </w:r>
          </w:p>
        </w:tc>
      </w:tr>
      <w:tr>
        <w:tblPrEx>
          <w:tblLayout w:type="fixed"/>
          <w:tblCellMar>
            <w:top w:w="0" w:type="dxa"/>
            <w:left w:w="0" w:type="dxa"/>
            <w:bottom w:w="0" w:type="dxa"/>
            <w:right w:w="0" w:type="dxa"/>
          </w:tblCellMar>
        </w:tblPrEx>
        <w:trPr>
          <w:trHeight w:val="74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项目资金执行情况得分(C)</w:t>
            </w:r>
          </w:p>
        </w:tc>
        <w:tc>
          <w:tcPr>
            <w:tcW w:w="11476" w:type="dxa"/>
            <w:gridSpan w:val="5"/>
            <w:tcBorders>
              <w:top w:val="single" w:color="000000" w:sz="4" w:space="0"/>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6.83</w:t>
            </w:r>
          </w:p>
        </w:tc>
        <w:tc>
          <w:tcPr>
            <w:tcW w:w="3267" w:type="dxa"/>
            <w:gridSpan w:val="2"/>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项目资金执行情况得分（C）=年度资金总额预算资金执行率×该指标分值(10分)，最高不得超过分值上限10分。</w:t>
            </w:r>
          </w:p>
        </w:tc>
      </w:tr>
      <w:tr>
        <w:tblPrEx>
          <w:tblLayout w:type="fixed"/>
          <w:tblCellMar>
            <w:top w:w="0" w:type="dxa"/>
            <w:left w:w="0" w:type="dxa"/>
            <w:bottom w:w="0" w:type="dxa"/>
            <w:right w:w="0"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年度总体目标</w:t>
            </w:r>
          </w:p>
        </w:tc>
        <w:tc>
          <w:tcPr>
            <w:tcW w:w="16728" w:type="dxa"/>
            <w:gridSpan w:val="9"/>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2021年全县招商引资区外境内到位资金45亿元，引进新项目27个。 </w:t>
            </w:r>
          </w:p>
        </w:tc>
      </w:tr>
      <w:tr>
        <w:tblPrEx>
          <w:tblLayout w:type="fixed"/>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年度绩效指标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分值</w:t>
            </w:r>
          </w:p>
        </w:tc>
        <w:tc>
          <w:tcPr>
            <w:tcW w:w="359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年度指标值(A)  </w:t>
            </w:r>
          </w:p>
        </w:tc>
        <w:tc>
          <w:tcPr>
            <w:tcW w:w="3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全年实际值(B) </w:t>
            </w:r>
          </w:p>
        </w:tc>
        <w:tc>
          <w:tcPr>
            <w:tcW w:w="10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得分</w:t>
            </w:r>
          </w:p>
        </w:tc>
        <w:tc>
          <w:tcPr>
            <w:tcW w:w="3267" w:type="dxa"/>
            <w:gridSpan w:val="2"/>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未完成原因分析</w:t>
            </w: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出</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(50分)</w:t>
            </w: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全年区外境内到位资金总量和引进新项目数按绩效目标要求完成。</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全年全县招商引资区外境内到位资金45亿元，引进新项目27个。</w:t>
            </w:r>
          </w:p>
        </w:tc>
        <w:tc>
          <w:tcPr>
            <w:tcW w:w="352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全年区外境内到位资金45.75亿元, 完成柳州市下达45亿元任务的101.67％;新签约实施项目数30个，完成柳州市下达27个任务的111%。</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3267" w:type="dxa"/>
            <w:gridSpan w:val="2"/>
            <w:vMerge w:val="restar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引进世界500强和中国500强企业来鹿投资，大力引进战略性新兴产业项目。</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引进世界500强和中国500强企业1家及以上，战略性新兴产业项目到位资金达5亿元。</w:t>
            </w:r>
          </w:p>
        </w:tc>
        <w:tc>
          <w:tcPr>
            <w:tcW w:w="352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全年引进中国500强项目2个（新希望、正邦科技），战略性新兴产业项目到位资金达5亿元。</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按照项目实施进度安排完成年度目标值。</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2021年第一季度完成目标值的24%；第二季度完成目标值的48%；第三季度完成目标值的73%，第四季度完成目标值的100%</w:t>
            </w:r>
          </w:p>
        </w:tc>
        <w:tc>
          <w:tcPr>
            <w:tcW w:w="352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如期按季度任务完成目标值。</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全年实际项目经费总投入不超过年度预算值。</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全年实际项目经费总投入不超过82万元。</w:t>
            </w:r>
          </w:p>
        </w:tc>
        <w:tc>
          <w:tcPr>
            <w:tcW w:w="3524"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全年实际项目经费总投入为68.3万元。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(30分)</w:t>
            </w: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是否完成柳州市下达的招商引资任务目标，引进大项目、新项目，为鹿寨县经济发展作出贡献。</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引进2家及以上投资额超10亿元的龙头企业项目。</w:t>
            </w:r>
          </w:p>
        </w:tc>
        <w:tc>
          <w:tcPr>
            <w:tcW w:w="352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引进2家投资额超10亿元的龙头企业项目（正邦科技和北京锦绣前程）。</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是否引进能带动产业链、提高就业率的大项目。</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引进林木业产业链项目2家及以上。</w:t>
            </w:r>
          </w:p>
        </w:tc>
        <w:tc>
          <w:tcPr>
            <w:tcW w:w="352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2021年，新引进林木产业链项目8个。</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引进项目是否可持续发展，尽量避免引进工业污染严重的项目。</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引进战略性新兴产业项目2个及以上。</w:t>
            </w:r>
          </w:p>
        </w:tc>
        <w:tc>
          <w:tcPr>
            <w:tcW w:w="352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引进战略性新兴产业项目4个。（年回收拆解报废机动车3万辆及零部件再制造项目和鹿寨生活垃圾焚烧发电炉渣筛选分拣项目等4个项目）</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是否具备招商引资工作可持续发展能力。</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力争招商引资工作取得新突破。</w:t>
            </w:r>
          </w:p>
        </w:tc>
        <w:tc>
          <w:tcPr>
            <w:tcW w:w="352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2021年，我单位荣获2021年鹿寨县“高质量发展奖”投资促进先进集体和2021年广西驻点招商工作先进集体。</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满意度指标（10分）</w:t>
            </w: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服务对象满意度指标</w:t>
            </w:r>
          </w:p>
        </w:tc>
        <w:tc>
          <w:tcPr>
            <w:tcW w:w="2592"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是否被客商投诉。</w:t>
            </w:r>
          </w:p>
        </w:tc>
        <w:tc>
          <w:tcPr>
            <w:tcW w:w="689"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591"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被投诉案件为0，客商满意度100%。</w:t>
            </w:r>
          </w:p>
        </w:tc>
        <w:tc>
          <w:tcPr>
            <w:tcW w:w="3524"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全年未接到客商投诉。</w:t>
            </w:r>
          </w:p>
        </w:tc>
        <w:tc>
          <w:tcPr>
            <w:tcW w:w="1080"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267" w:type="dxa"/>
            <w:gridSpan w:val="2"/>
            <w:vMerge w:val="restart"/>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92"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524"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  分</w:t>
            </w:r>
          </w:p>
        </w:tc>
        <w:tc>
          <w:tcPr>
            <w:tcW w:w="11476" w:type="dxa"/>
            <w:gridSpan w:val="5"/>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96.83</w:t>
            </w:r>
          </w:p>
        </w:tc>
        <w:tc>
          <w:tcPr>
            <w:tcW w:w="3267"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总分=项目资金执行情况得分(C)+产出指标得分合计+效益指标得分合计+满意度指标得分合计。</w:t>
            </w:r>
          </w:p>
        </w:tc>
      </w:tr>
      <w:tr>
        <w:tblPrEx>
          <w:tblLayout w:type="fixed"/>
          <w:tblCellMar>
            <w:top w:w="0" w:type="dxa"/>
            <w:left w:w="0" w:type="dxa"/>
            <w:bottom w:w="0" w:type="dxa"/>
            <w:right w:w="0" w:type="dxa"/>
          </w:tblCellMar>
        </w:tblPrEx>
        <w:trPr>
          <w:trHeight w:val="285" w:hRule="atLeast"/>
        </w:trPr>
        <w:tc>
          <w:tcPr>
            <w:tcW w:w="97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266" w:type="dxa"/>
            <w:gridSpan w:val="4"/>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填报人：韦丹丹</w:t>
            </w:r>
          </w:p>
        </w:tc>
        <w:tc>
          <w:tcPr>
            <w:tcW w:w="8195" w:type="dxa"/>
            <w:gridSpan w:val="3"/>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联系电话：18276724052</w:t>
            </w:r>
          </w:p>
        </w:tc>
        <w:tc>
          <w:tcPr>
            <w:tcW w:w="1539"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28"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8" w:hRule="atLeast"/>
        </w:trPr>
        <w:tc>
          <w:tcPr>
            <w:tcW w:w="17700"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bdr w:val="none" w:color="auto" w:sz="0" w:space="0"/>
                <w:lang w:val="en-US" w:eastAsia="zh-CN" w:bidi="ar"/>
              </w:rPr>
              <w:t>注：1</w:t>
            </w:r>
            <w:r>
              <w:rPr>
                <w:rStyle w:val="14"/>
                <w:bdr w:val="none" w:color="auto" w:sz="0" w:space="0"/>
                <w:lang w:val="en-US" w:eastAsia="zh-CN" w:bidi="ar"/>
              </w:rPr>
              <w:t>.得分一档最高不能超过该指标分值上限；</w:t>
            </w:r>
          </w:p>
        </w:tc>
      </w:tr>
      <w:tr>
        <w:tblPrEx>
          <w:tblLayout w:type="fixed"/>
          <w:tblCellMar>
            <w:top w:w="0" w:type="dxa"/>
            <w:left w:w="0" w:type="dxa"/>
            <w:bottom w:w="0" w:type="dxa"/>
            <w:right w:w="0" w:type="dxa"/>
          </w:tblCellMar>
        </w:tblPrEx>
        <w:trPr>
          <w:trHeight w:val="540" w:hRule="atLeast"/>
        </w:trPr>
        <w:tc>
          <w:tcPr>
            <w:tcW w:w="17700" w:type="dxa"/>
            <w:gridSpan w:val="10"/>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Layout w:type="fixed"/>
          <w:tblCellMar>
            <w:top w:w="0" w:type="dxa"/>
            <w:left w:w="0" w:type="dxa"/>
            <w:bottom w:w="0" w:type="dxa"/>
            <w:right w:w="0" w:type="dxa"/>
          </w:tblCellMar>
        </w:tblPrEx>
        <w:trPr>
          <w:trHeight w:val="288" w:hRule="atLeast"/>
        </w:trPr>
        <w:tc>
          <w:tcPr>
            <w:tcW w:w="17700"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3.请在“未完成原因分析”中说明偏离目标、不能完成目标的原因及拟采取的措施。若内容过多可以另附说明。</w:t>
            </w:r>
          </w:p>
        </w:tc>
      </w:tr>
    </w:tbl>
    <w:p>
      <w:pPr>
        <w:spacing w:line="580" w:lineRule="exact"/>
        <w:ind w:firstLine="645"/>
        <w:rPr>
          <w:rFonts w:hint="eastAsia" w:ascii="仿宋_GB2312" w:eastAsia="仿宋_GB2312"/>
          <w:b/>
          <w:sz w:val="32"/>
          <w:szCs w:val="32"/>
        </w:rPr>
        <w:sectPr>
          <w:pgSz w:w="23811" w:h="16838" w:orient="landscape"/>
          <w:pgMar w:top="1797" w:right="1440" w:bottom="1797" w:left="1440" w:header="851" w:footer="992" w:gutter="0"/>
          <w:paperSrc/>
          <w:pgNumType w:fmt="numberInDash"/>
          <w:cols w:space="0" w:num="1"/>
          <w:rtlGutter w:val="0"/>
          <w:docGrid w:type="lines" w:linePitch="312" w:charSpace="0"/>
        </w:sect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5352423"/>
    <w:rsid w:val="064C30F9"/>
    <w:rsid w:val="094B45FA"/>
    <w:rsid w:val="0A0C33E4"/>
    <w:rsid w:val="0B424B1D"/>
    <w:rsid w:val="0DA86951"/>
    <w:rsid w:val="0E074DDF"/>
    <w:rsid w:val="0F0F5ED6"/>
    <w:rsid w:val="117476DE"/>
    <w:rsid w:val="124204B5"/>
    <w:rsid w:val="14F016D4"/>
    <w:rsid w:val="15823E15"/>
    <w:rsid w:val="1612602D"/>
    <w:rsid w:val="16B90A0F"/>
    <w:rsid w:val="182962AB"/>
    <w:rsid w:val="19D073EB"/>
    <w:rsid w:val="1A650904"/>
    <w:rsid w:val="1CC31F67"/>
    <w:rsid w:val="2249565E"/>
    <w:rsid w:val="24D337DC"/>
    <w:rsid w:val="26460DBA"/>
    <w:rsid w:val="286F4A8F"/>
    <w:rsid w:val="2A066798"/>
    <w:rsid w:val="2B6F74EB"/>
    <w:rsid w:val="2BCC57BC"/>
    <w:rsid w:val="2C1F0B15"/>
    <w:rsid w:val="2C4219FE"/>
    <w:rsid w:val="335718FE"/>
    <w:rsid w:val="34020F86"/>
    <w:rsid w:val="341361ED"/>
    <w:rsid w:val="39A63F06"/>
    <w:rsid w:val="3C017E2C"/>
    <w:rsid w:val="3E6F4772"/>
    <w:rsid w:val="3EA872B2"/>
    <w:rsid w:val="3ED1439F"/>
    <w:rsid w:val="42235D58"/>
    <w:rsid w:val="437A21FA"/>
    <w:rsid w:val="44500BF5"/>
    <w:rsid w:val="47F43786"/>
    <w:rsid w:val="48374EDC"/>
    <w:rsid w:val="4C256E3D"/>
    <w:rsid w:val="4CB52F0F"/>
    <w:rsid w:val="4DA07E10"/>
    <w:rsid w:val="4E2875DF"/>
    <w:rsid w:val="4FD576C3"/>
    <w:rsid w:val="50C04C3A"/>
    <w:rsid w:val="50F35421"/>
    <w:rsid w:val="532F1F9A"/>
    <w:rsid w:val="5DBB25AC"/>
    <w:rsid w:val="5E995A3E"/>
    <w:rsid w:val="5ECF469B"/>
    <w:rsid w:val="5F933EA7"/>
    <w:rsid w:val="5F95061E"/>
    <w:rsid w:val="5FC1266C"/>
    <w:rsid w:val="617E254E"/>
    <w:rsid w:val="62163194"/>
    <w:rsid w:val="624D024D"/>
    <w:rsid w:val="647C1571"/>
    <w:rsid w:val="650E086A"/>
    <w:rsid w:val="65493030"/>
    <w:rsid w:val="68427065"/>
    <w:rsid w:val="6BAA0708"/>
    <w:rsid w:val="70046E9D"/>
    <w:rsid w:val="72231A60"/>
    <w:rsid w:val="743631A3"/>
    <w:rsid w:val="75AF6C8B"/>
    <w:rsid w:val="76915B72"/>
    <w:rsid w:val="77474C4B"/>
    <w:rsid w:val="7B9C531B"/>
    <w:rsid w:val="7DAF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31"/>
    <w:basedOn w:val="6"/>
    <w:uiPriority w:val="0"/>
    <w:rPr>
      <w:rFonts w:hint="eastAsia" w:ascii="宋体" w:hAnsi="宋体" w:eastAsia="宋体" w:cs="宋体"/>
      <w:color w:val="000000"/>
      <w:sz w:val="20"/>
      <w:szCs w:val="20"/>
      <w:u w:val="none"/>
    </w:rPr>
  </w:style>
  <w:style w:type="character" w:customStyle="1" w:styleId="13">
    <w:name w:val="font151"/>
    <w:basedOn w:val="6"/>
    <w:uiPriority w:val="0"/>
    <w:rPr>
      <w:rFonts w:hint="eastAsia" w:ascii="宋体" w:hAnsi="宋体" w:eastAsia="宋体" w:cs="宋体"/>
      <w:color w:val="000000"/>
      <w:sz w:val="20"/>
      <w:szCs w:val="20"/>
      <w:u w:val="none"/>
    </w:rPr>
  </w:style>
  <w:style w:type="character" w:customStyle="1" w:styleId="14">
    <w:name w:val="font16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5326</Words>
  <Characters>5565</Characters>
  <Lines>60</Lines>
  <Paragraphs>17</Paragraphs>
  <TotalTime>19</TotalTime>
  <ScaleCrop>false</ScaleCrop>
  <LinksUpToDate>false</LinksUpToDate>
  <CharactersWithSpaces>6030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2022-10-10T03:20:50Z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