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lang w:val="en-US" w:eastAsia="zh-CN"/>
        </w:rPr>
        <w:t>鹿寨县</w:t>
      </w:r>
      <w:r>
        <w:rPr>
          <w:rFonts w:hint="eastAsia" w:ascii="黑体" w:hAnsi="黑体" w:eastAsia="黑体"/>
          <w:bCs/>
          <w:color w:val="000000"/>
          <w:sz w:val="52"/>
          <w:szCs w:val="52"/>
          <w:u w:val="single"/>
          <w:lang w:eastAsia="zh-CN"/>
        </w:rPr>
        <w:t>土地交易储备中心</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560" w:firstLineChars="200"/>
        <w:rPr>
          <w:rFonts w:cs="Times New Roman"/>
          <w:sz w:val="28"/>
          <w:szCs w:val="28"/>
          <w:lang w:eastAsia="zh-CN"/>
        </w:rPr>
      </w:pPr>
      <w:r>
        <w:rPr>
          <w:rFonts w:hint="eastAsia" w:cs="宋体"/>
          <w:sz w:val="28"/>
          <w:szCs w:val="28"/>
          <w:lang w:eastAsia="zh-CN"/>
        </w:rPr>
        <w:t>依照国家法律法规及县政府计划安排，对全县城镇建设用地实行统一征</w:t>
      </w:r>
      <w:r>
        <w:rPr>
          <w:rFonts w:hint="eastAsia" w:hAnsi="宋体" w:cs="宋体"/>
          <w:sz w:val="28"/>
          <w:szCs w:val="28"/>
          <w:lang w:eastAsia="zh-CN"/>
        </w:rPr>
        <w:t>收、规划供应、配套开发；受县政府委托收购和储备闲置土地；受国土部门委托，招标、拍卖国有土地使用权。促进全县土地合理有序的收购、储备和开发，充分发挥土地的最大价值。</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6"/>
        <w:rPr>
          <w:rFonts w:hint="default" w:ascii="仿宋_GB2312" w:eastAsia="仿宋_GB2312"/>
          <w:sz w:val="32"/>
          <w:szCs w:val="32"/>
          <w:lang w:val="en-US"/>
        </w:rPr>
      </w:pPr>
      <w:r>
        <w:rPr>
          <w:rFonts w:hint="eastAsia" w:cs="宋体"/>
          <w:sz w:val="28"/>
          <w:szCs w:val="28"/>
          <w:lang w:eastAsia="zh-CN"/>
        </w:rPr>
        <w:t>本部门属于县级直属全额拨款的参公事业单位，目前由一个单位构成，单位基本的情况如下：实行事业单位法人负责制，下设主任室、副主任室、办公室、计划财务股、交易储备股、资产管理股共六个股室；现有在编人员</w:t>
      </w:r>
      <w:r>
        <w:rPr>
          <w:rFonts w:hint="eastAsia" w:cs="宋体"/>
          <w:sz w:val="28"/>
          <w:szCs w:val="28"/>
          <w:lang w:val="en-US" w:eastAsia="zh-CN"/>
        </w:rPr>
        <w:t>8人，退休人员2人。</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pPr>
        <w:jc w:val="right"/>
        <w:rPr>
          <w:sz w:val="22"/>
          <w:szCs w:val="22"/>
        </w:rPr>
      </w:pPr>
      <w:r>
        <w:rPr>
          <w:rFonts w:hint="eastAsia"/>
          <w:sz w:val="22"/>
          <w:szCs w:val="22"/>
        </w:rPr>
        <w:t xml:space="preserve">                    </w:t>
      </w:r>
    </w:p>
    <w:p/>
    <w:p/>
    <w:p/>
    <w:p>
      <w:pPr>
        <w:ind w:firstLine="640"/>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lang w:eastAsia="zh-CN"/>
        </w:rPr>
        <w:t>鹿寨县土地交易储备中心</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鹿寨县土地交易储备中心</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21324.76</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19656.09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48428.94</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71.13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138.48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14.19</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9.29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：压缩经费，减少开支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19517.62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48178.70</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71.17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：土地市场疲软，需求下降</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1668.66</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该项支出没有发生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19656.09</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19656.09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48428.94</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71.13</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sz w:val="32"/>
          <w:szCs w:val="32"/>
          <w:lang w:eastAsia="zh-CN"/>
        </w:rPr>
        <w:t>自然资源海洋气象等支出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90.17</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人员工资、公用经费，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16.67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：人员减少及压缩经费，减少开支</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sz w:val="32"/>
          <w:szCs w:val="32"/>
          <w:lang w:eastAsia="zh-CN"/>
        </w:rPr>
        <w:t>社会保障和就业支出（类）</w:t>
      </w:r>
      <w:r>
        <w:rPr>
          <w:rFonts w:hint="eastAsia" w:ascii="仿宋_GB2312" w:eastAsia="仿宋_GB2312"/>
          <w:kern w:val="0"/>
          <w:sz w:val="32"/>
          <w:szCs w:val="32"/>
          <w:lang w:val="en-US" w:eastAsia="zh-CN"/>
        </w:rPr>
        <w:t>23.54</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退休人员生活补助及社保缴费，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4.06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20.84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：社保缴费基数调整所致</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sz w:val="32"/>
          <w:szCs w:val="32"/>
          <w:lang w:eastAsia="zh-CN"/>
        </w:rPr>
        <w:t>卫生健康支出（类）</w:t>
      </w:r>
      <w:r>
        <w:rPr>
          <w:rFonts w:hint="eastAsia" w:ascii="仿宋_GB2312" w:eastAsia="仿宋_GB2312"/>
          <w:kern w:val="0"/>
          <w:sz w:val="32"/>
          <w:szCs w:val="32"/>
          <w:lang w:val="en-US" w:eastAsia="zh-CN"/>
        </w:rPr>
        <w:t>9.19</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人员医疗缴费及公务员医疗补助，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10.86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：人员减少</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sz w:val="32"/>
          <w:szCs w:val="32"/>
          <w:lang w:eastAsia="zh-CN"/>
        </w:rPr>
        <w:t>住房保障支出（类）</w:t>
      </w:r>
      <w:r>
        <w:rPr>
          <w:rFonts w:hint="eastAsia" w:ascii="仿宋_GB2312" w:eastAsia="仿宋_GB2312"/>
          <w:kern w:val="0"/>
          <w:sz w:val="32"/>
          <w:szCs w:val="32"/>
          <w:lang w:val="en-US" w:eastAsia="zh-CN"/>
        </w:rPr>
        <w:t>10.96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在职人员公积金，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0.37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3.49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：公积金基数调整所致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val="en-US" w:eastAsia="zh-CN"/>
        </w:rPr>
        <w:t>5.</w:t>
      </w:r>
      <w:r>
        <w:rPr>
          <w:rFonts w:hint="eastAsia" w:ascii="仿宋_GB2312" w:eastAsia="仿宋_GB2312" w:cs="仿宋_GB2312"/>
          <w:sz w:val="32"/>
          <w:szCs w:val="32"/>
          <w:lang w:eastAsia="zh-CN"/>
        </w:rPr>
        <w:t>城乡社区支出（类）</w:t>
      </w:r>
      <w:r>
        <w:rPr>
          <w:rFonts w:hint="eastAsia" w:ascii="仿宋_GB2312" w:eastAsia="仿宋_GB2312"/>
          <w:kern w:val="0"/>
          <w:sz w:val="32"/>
          <w:szCs w:val="32"/>
          <w:lang w:val="en-US" w:eastAsia="zh-CN"/>
        </w:rPr>
        <w:t>19517.62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收储土地的征地和拆迁补偿支出，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48182.78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71.17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：土地市场疲软，需求下降，出让土地收入减少所致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sz w:val="32"/>
          <w:szCs w:val="32"/>
          <w:lang w:eastAsia="zh-CN"/>
        </w:rPr>
        <w:t>其他支出（类）</w:t>
      </w:r>
      <w:r>
        <w:rPr>
          <w:rFonts w:hint="eastAsia" w:ascii="仿宋_GB2312" w:eastAsia="仿宋_GB2312"/>
          <w:kern w:val="0"/>
          <w:sz w:val="32"/>
          <w:szCs w:val="32"/>
          <w:lang w:val="en-US" w:eastAsia="zh-CN"/>
        </w:rPr>
        <w:t>4.62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在职人员交通补贴及其他支出，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eastAsia="仿宋_GB2312" w:cs="仿宋_GB2312"/>
          <w:kern w:val="0"/>
          <w:sz w:val="32"/>
          <w:szCs w:val="32"/>
          <w:lang w:val="en-US" w:eastAsia="zh-CN"/>
        </w:rPr>
        <w:t>4.62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：原来没有单独归入到该类支出所致</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1668.66</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该项收入和支出都没有发生</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138.48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14.19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9.29</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138.48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164.53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138.48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84.17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sz w:val="32"/>
          <w:szCs w:val="32"/>
          <w:lang w:eastAsia="zh-CN"/>
        </w:rPr>
        <w:t>自然资源海洋气象等支出（类）自然资源事务（款）土地资源储备支出（项）。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117.94</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90.17</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76.45</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人员减少所致</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sz w:val="32"/>
          <w:szCs w:val="32"/>
          <w:lang w:eastAsia="zh-CN"/>
        </w:rPr>
        <w:t>社会保障和就业支出（类）行政事业单位离退休（款）事业单位离退休（项）</w:t>
      </w:r>
      <w:r>
        <w:rPr>
          <w:rFonts w:hint="eastAsia" w:ascii="仿宋_GB2312" w:eastAsia="仿宋_GB2312" w:cs="仿宋_GB2312"/>
          <w:bCs/>
          <w:kern w:val="0"/>
          <w:sz w:val="32"/>
          <w:szCs w:val="32"/>
        </w:rPr>
        <w:t>。年初预算为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24.37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23.54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96.59</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人员减少所致</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sz w:val="32"/>
          <w:szCs w:val="32"/>
          <w:lang w:eastAsia="zh-CN"/>
        </w:rPr>
        <w:t>卫生健康支出（类）行政事业单位医疗（款）行政单位医疗（项）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10.60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9.19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86.70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人员减少所致</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sz w:val="32"/>
          <w:szCs w:val="32"/>
          <w:lang w:eastAsia="zh-CN"/>
        </w:rPr>
        <w:t>住房保障支出（类）住房改革支出（款）住房公积金（项）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11.62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10.96</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94.32</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人员变动减少所致</w:t>
      </w:r>
      <w:r>
        <w:rPr>
          <w:rFonts w:hint="eastAsia" w:ascii="仿宋_GB2312" w:eastAsia="仿宋_GB2312" w:cs="仿宋_GB2312"/>
          <w:bCs/>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（五）</w:t>
      </w:r>
      <w:r>
        <w:rPr>
          <w:rFonts w:hint="eastAsia" w:ascii="仿宋_GB2312" w:eastAsia="仿宋_GB2312" w:cs="仿宋_GB2312"/>
          <w:sz w:val="32"/>
          <w:szCs w:val="32"/>
          <w:lang w:eastAsia="zh-CN"/>
        </w:rPr>
        <w:t>其他支出（类）其他支出（款）其他商品和服务支出</w:t>
      </w:r>
      <w:r>
        <w:rPr>
          <w:rFonts w:hint="eastAsia" w:ascii="仿宋_GB2312" w:eastAsia="仿宋_GB2312"/>
          <w:kern w:val="0"/>
          <w:sz w:val="32"/>
          <w:szCs w:val="32"/>
          <w:lang w:val="en-US" w:eastAsia="zh-CN"/>
        </w:rPr>
        <w:t>4.62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4.62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rPr>
        <w:t>年初预算</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hAnsi="黑体" w:eastAsia="仿宋_GB2312" w:cs="仿宋_GB2312"/>
          <w:kern w:val="0"/>
          <w:sz w:val="32"/>
          <w:szCs w:val="32"/>
          <w:lang w:eastAsia="zh-CN"/>
        </w:rPr>
        <w:t>原来没有单独归入到该类支出所致</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kern w:val="0"/>
          <w:sz w:val="32"/>
          <w:szCs w:val="32"/>
          <w:lang w:val="en-US" w:eastAsia="zh-CN"/>
        </w:rPr>
        <w:t>138.48</w:t>
      </w:r>
      <w:r>
        <w:rPr>
          <w:rFonts w:hint="eastAsia" w:ascii="仿宋_GB2312" w:eastAsia="仿宋_GB2312" w:cs="仿宋_GB2312"/>
          <w:kern w:val="0"/>
          <w:sz w:val="32"/>
          <w:szCs w:val="32"/>
        </w:rPr>
        <w:t>万元，支出具体情况如下：</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118.83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97.22</w:t>
      </w:r>
      <w:r>
        <w:rPr>
          <w:rFonts w:hint="eastAsia" w:ascii="仿宋_GB2312" w:eastAsia="仿宋_GB2312"/>
          <w:bCs/>
          <w:kern w:val="0"/>
          <w:sz w:val="32"/>
          <w:szCs w:val="32"/>
        </w:rPr>
        <w:t>%。</w:t>
      </w:r>
      <w:r>
        <w:rPr>
          <w:rFonts w:hint="eastAsia" w:ascii="仿宋_GB2312" w:eastAsia="仿宋_GB2312" w:cs="仿宋_GB2312"/>
          <w:bCs/>
          <w:kern w:val="0"/>
          <w:sz w:val="32"/>
          <w:szCs w:val="32"/>
        </w:rPr>
        <w:t>主要原因是</w:t>
      </w:r>
      <w:r>
        <w:rPr>
          <w:rFonts w:hint="eastAsia" w:ascii="仿宋_GB2312" w:eastAsia="仿宋_GB2312" w:cs="仿宋_GB2312"/>
          <w:bCs/>
          <w:kern w:val="0"/>
          <w:sz w:val="32"/>
          <w:szCs w:val="32"/>
          <w:lang w:eastAsia="zh-CN"/>
        </w:rPr>
        <w:t>人员变动减少所致</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16.18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71.98</w:t>
      </w:r>
      <w:r>
        <w:rPr>
          <w:rFonts w:hint="eastAsia" w:ascii="仿宋_GB2312" w:eastAsia="仿宋_GB2312"/>
          <w:bCs/>
          <w:kern w:val="0"/>
          <w:sz w:val="32"/>
          <w:szCs w:val="32"/>
        </w:rPr>
        <w:t>%。</w:t>
      </w:r>
      <w:r>
        <w:rPr>
          <w:rFonts w:hint="eastAsia" w:ascii="仿宋_GB2312" w:eastAsia="仿宋_GB2312" w:cs="仿宋_GB2312"/>
          <w:bCs/>
          <w:kern w:val="0"/>
          <w:sz w:val="32"/>
          <w:szCs w:val="32"/>
        </w:rPr>
        <w:t>主要原因</w:t>
      </w:r>
      <w:r>
        <w:rPr>
          <w:rFonts w:hint="eastAsia" w:ascii="仿宋_GB2312" w:eastAsia="仿宋_GB2312"/>
          <w:bCs/>
          <w:kern w:val="0"/>
          <w:sz w:val="32"/>
          <w:szCs w:val="32"/>
          <w:lang w:eastAsia="zh-CN"/>
        </w:rPr>
        <w:t>是压缩公用经费开支减少所致</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1.98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76.15</w:t>
      </w:r>
      <w:r>
        <w:rPr>
          <w:rFonts w:hint="eastAsia" w:ascii="仿宋_GB2312" w:eastAsia="仿宋_GB2312"/>
          <w:bCs/>
          <w:kern w:val="0"/>
          <w:sz w:val="32"/>
          <w:szCs w:val="32"/>
        </w:rPr>
        <w:t>%。</w:t>
      </w:r>
      <w:r>
        <w:rPr>
          <w:rFonts w:hint="eastAsia" w:ascii="仿宋_GB2312" w:eastAsia="仿宋_GB2312" w:cs="仿宋_GB2312"/>
          <w:bCs/>
          <w:kern w:val="0"/>
          <w:sz w:val="32"/>
          <w:szCs w:val="32"/>
        </w:rPr>
        <w:t>主要原因</w:t>
      </w:r>
      <w:r>
        <w:rPr>
          <w:rFonts w:hint="eastAsia" w:ascii="仿宋_GB2312" w:eastAsia="仿宋_GB2312"/>
          <w:bCs/>
          <w:kern w:val="0"/>
          <w:sz w:val="32"/>
          <w:szCs w:val="32"/>
          <w:lang w:eastAsia="zh-CN"/>
        </w:rPr>
        <w:t>是人员变动减少所致</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四</w:t>
      </w:r>
      <w:r>
        <w:rPr>
          <w:rFonts w:hint="eastAsia" w:ascii="仿宋_GB2312" w:eastAsia="仿宋_GB2312"/>
          <w:bCs/>
          <w:kern w:val="0"/>
          <w:sz w:val="32"/>
          <w:szCs w:val="32"/>
        </w:rPr>
        <w:t>）</w:t>
      </w:r>
      <w:r>
        <w:rPr>
          <w:rFonts w:hint="eastAsia" w:ascii="仿宋_GB2312" w:eastAsia="仿宋_GB2312"/>
          <w:bCs/>
          <w:kern w:val="0"/>
          <w:sz w:val="32"/>
          <w:szCs w:val="32"/>
          <w:lang w:eastAsia="zh-CN"/>
        </w:rPr>
        <w:t>资本性</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1.49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74.5</w:t>
      </w:r>
      <w:r>
        <w:rPr>
          <w:rFonts w:hint="eastAsia" w:ascii="仿宋_GB2312" w:eastAsia="仿宋_GB2312"/>
          <w:bCs/>
          <w:kern w:val="0"/>
          <w:sz w:val="32"/>
          <w:szCs w:val="32"/>
        </w:rPr>
        <w:t>%。</w:t>
      </w:r>
      <w:r>
        <w:rPr>
          <w:rFonts w:hint="eastAsia" w:ascii="仿宋_GB2312" w:eastAsia="仿宋_GB2312" w:cs="仿宋_GB2312"/>
          <w:bCs/>
          <w:kern w:val="0"/>
          <w:sz w:val="32"/>
          <w:szCs w:val="32"/>
        </w:rPr>
        <w:t>主要原因</w:t>
      </w:r>
      <w:r>
        <w:rPr>
          <w:rFonts w:hint="eastAsia" w:ascii="仿宋_GB2312" w:eastAsia="仿宋_GB2312"/>
          <w:bCs/>
          <w:kern w:val="0"/>
          <w:sz w:val="32"/>
          <w:szCs w:val="32"/>
          <w:lang w:eastAsia="zh-CN"/>
        </w:rPr>
        <w:t>是压缩公用经费开支减少购买办公设备所致</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19517.62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48178.70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71.17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19517.62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19517.62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征地和拆迁补偿支出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14269.71</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根据当年基金收入实际情况来确定支出</w:t>
      </w:r>
    </w:p>
    <w:p>
      <w:pPr>
        <w:numPr>
          <w:ilvl w:val="-1"/>
          <w:numId w:val="0"/>
        </w:num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二</w:t>
      </w:r>
      <w:r>
        <w:rPr>
          <w:rFonts w:hint="eastAsia" w:ascii="仿宋_GB2312" w:eastAsia="仿宋_GB2312"/>
          <w:bCs/>
          <w:kern w:val="0"/>
          <w:sz w:val="32"/>
          <w:szCs w:val="32"/>
        </w:rPr>
        <w:t>）</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国有土地收益基金</w:t>
      </w:r>
      <w:r>
        <w:rPr>
          <w:rFonts w:hint="eastAsia" w:ascii="仿宋_GB2312" w:eastAsia="仿宋_GB2312" w:cs="仿宋_GB2312"/>
          <w:bCs/>
          <w:kern w:val="0"/>
          <w:sz w:val="32"/>
          <w:szCs w:val="32"/>
        </w:rPr>
        <w:t>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征地和拆迁补偿支出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5247.91</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根据当年基金收入实际情况来确定支出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鹿寨县土地交易储备中心</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没有支出</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没有支出</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）机关、</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。开支内容包括：</w:t>
      </w:r>
      <w:r>
        <w:rPr>
          <w:rFonts w:hint="eastAsia" w:ascii="仿宋_GB2312" w:hAnsi="黑体" w:eastAsia="仿宋_GB2312"/>
          <w:bCs/>
          <w:color w:val="000000"/>
          <w:sz w:val="32"/>
          <w:szCs w:val="32"/>
          <w:lang w:eastAsia="zh-CN"/>
        </w:rPr>
        <w:t>没有支出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公车改革没有发生</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w:t>
      </w:r>
      <w:r>
        <w:rPr>
          <w:rFonts w:hint="eastAsia" w:ascii="仿宋_GB2312" w:eastAsia="仿宋_GB2312" w:cs="仿宋_GB2312"/>
          <w:kern w:val="0"/>
          <w:sz w:val="32"/>
          <w:szCs w:val="32"/>
          <w:lang w:eastAsia="zh-CN"/>
        </w:rPr>
        <w:t>公车改革没有发生</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公车改革没有发生</w:t>
      </w:r>
      <w:r>
        <w:rPr>
          <w:rFonts w:hint="eastAsia" w:ascii="仿宋_GB2312" w:eastAsia="仿宋_GB2312" w:cs="仿宋_GB2312"/>
          <w:kern w:val="0"/>
          <w:sz w:val="32"/>
          <w:szCs w:val="32"/>
        </w:rPr>
        <w:t>。主要用于机要文件交换、市内因公出行以及开展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没有发生支出</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 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17.67</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万元（与部门决算中行政单位和参照公务员法管理事业单位一般公共预算财政拨款基本支出中公用经费之和保持一致），比年初预算数减少</w:t>
      </w:r>
      <w:r>
        <w:rPr>
          <w:rFonts w:hint="eastAsia" w:ascii="仿宋_GB2312" w:eastAsia="仿宋_GB2312" w:cs="仿宋_GB2312"/>
          <w:kern w:val="0"/>
          <w:sz w:val="32"/>
          <w:szCs w:val="32"/>
          <w:lang w:val="en-US" w:eastAsia="zh-CN"/>
        </w:rPr>
        <w:t>4.81</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21.40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压缩公用经费开支</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11.52</w:t>
      </w:r>
      <w:r>
        <w:rPr>
          <w:rFonts w:hint="eastAsia" w:ascii="仿宋_GB2312" w:eastAsia="仿宋_GB2312" w:cs="仿宋_GB2312"/>
          <w:kern w:val="0"/>
          <w:sz w:val="32"/>
          <w:szCs w:val="32"/>
        </w:rPr>
        <w:t xml:space="preserve"> %。主要原因是：办公设施设备购置经费减少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人员编制数量减少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val="en-US" w:eastAsia="zh-CN"/>
        </w:rPr>
        <w:t>2.3万元</w:t>
      </w:r>
      <w:r>
        <w:rPr>
          <w:rFonts w:hint="eastAsia" w:ascii="仿宋_GB2312" w:eastAsia="仿宋_GB2312" w:cs="仿宋_GB2312"/>
          <w:kern w:val="0"/>
          <w:sz w:val="32"/>
          <w:szCs w:val="32"/>
        </w:rPr>
        <w:t>支出等</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1.48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1.48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1.48</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1.48</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辆，其他用车主要是</w:t>
      </w:r>
      <w:r>
        <w:rPr>
          <w:rFonts w:hint="eastAsia" w:ascii="仿宋_GB2312" w:eastAsia="仿宋_GB2312" w:cs="仿宋_GB2312"/>
          <w:kern w:val="0"/>
          <w:sz w:val="32"/>
          <w:szCs w:val="32"/>
          <w:lang w:val="en-US" w:eastAsia="zh-CN"/>
        </w:rPr>
        <w:t>没有发生</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年度挂牌交易服务费支付公告费等费用等 </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0.05</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华文仿宋" w:hAnsi="华文仿宋" w:eastAsia="华文仿宋" w:cs="华文仿宋"/>
          <w:sz w:val="28"/>
          <w:szCs w:val="28"/>
          <w:lang w:eastAsia="zh-CN"/>
        </w:rPr>
        <w:t>洛清江小镇</w:t>
      </w:r>
      <w:r>
        <w:rPr>
          <w:rFonts w:hint="eastAsia" w:ascii="华文仿宋" w:hAnsi="华文仿宋" w:eastAsia="华文仿宋" w:cs="华文仿宋"/>
          <w:color w:val="000000"/>
          <w:sz w:val="28"/>
          <w:szCs w:val="28"/>
        </w:rPr>
        <w:t>、</w:t>
      </w:r>
      <w:r>
        <w:rPr>
          <w:rFonts w:hint="eastAsia" w:ascii="华文仿宋" w:hAnsi="华文仿宋" w:eastAsia="华文仿宋" w:cs="华文仿宋"/>
          <w:sz w:val="28"/>
          <w:szCs w:val="28"/>
          <w:lang w:eastAsia="zh-CN"/>
        </w:rPr>
        <w:t>中蔬联农产品加工园</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韵达物流园</w:t>
      </w:r>
      <w:r>
        <w:rPr>
          <w:rFonts w:hint="eastAsia" w:ascii="华文仿宋" w:hAnsi="华文仿宋" w:eastAsia="华文仿宋" w:cs="华文仿宋"/>
          <w:sz w:val="28"/>
          <w:szCs w:val="28"/>
        </w:rPr>
        <w:t>用地</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2.692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我部门根据年初设定的绩效目标，挂牌交易服务费支付公告费等费用 项目自评得分为</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分。发现的主要问题及原因：一是</w:t>
      </w:r>
      <w:r>
        <w:rPr>
          <w:rFonts w:hint="eastAsia" w:ascii="仿宋_GB2312" w:hAnsi="仿宋"/>
          <w:sz w:val="28"/>
          <w:szCs w:val="28"/>
        </w:rPr>
        <w:t>征地拆迁难。农民对征地拆迁补偿标准期望值高，征地成本越来越高，工作越来越难做，导致一些项目落地难，推进缓慢</w:t>
      </w:r>
      <w:r>
        <w:rPr>
          <w:rFonts w:hint="eastAsia" w:ascii="仿宋_GB2312" w:eastAsia="仿宋_GB2312" w:cs="仿宋_GB2312"/>
          <w:kern w:val="0"/>
          <w:sz w:val="32"/>
          <w:szCs w:val="32"/>
        </w:rPr>
        <w:t>；二是</w:t>
      </w:r>
      <w:r>
        <w:rPr>
          <w:rFonts w:hint="eastAsia" w:ascii="仿宋_GB2312" w:hAnsi="仿宋" w:cs="Arial"/>
          <w:kern w:val="0"/>
          <w:sz w:val="28"/>
          <w:szCs w:val="28"/>
        </w:rPr>
        <w:t>待出让的</w:t>
      </w:r>
      <w:r>
        <w:rPr>
          <w:rFonts w:hint="eastAsia" w:ascii="仿宋_GB2312" w:hAnsi="仿宋"/>
          <w:sz w:val="28"/>
          <w:szCs w:val="28"/>
        </w:rPr>
        <w:t>土地量少。由于征地难度加大，很多土地都没有完成征地</w:t>
      </w:r>
      <w:r>
        <w:rPr>
          <w:rFonts w:hint="eastAsia" w:ascii="仿宋_GB2312" w:hAnsi="仿宋"/>
          <w:sz w:val="28"/>
          <w:szCs w:val="28"/>
          <w:lang w:eastAsia="zh-CN"/>
        </w:rPr>
        <w:t>就</w:t>
      </w:r>
      <w:r>
        <w:rPr>
          <w:rFonts w:hint="eastAsia" w:ascii="仿宋_GB2312" w:hAnsi="仿宋"/>
          <w:sz w:val="28"/>
          <w:szCs w:val="28"/>
        </w:rPr>
        <w:t>出让，导致征地成本增加。今年来，土地市场虽然变化不大，企业经营困难，不管是商业用地还是工业用地，土地价格很平缓，偶尔有流拍现象</w:t>
      </w:r>
      <w:r>
        <w:rPr>
          <w:rFonts w:hint="eastAsia" w:ascii="仿宋_GB2312" w:eastAsia="仿宋_GB2312" w:cs="仿宋_GB2312"/>
          <w:kern w:val="0"/>
          <w:sz w:val="32"/>
          <w:szCs w:val="32"/>
        </w:rPr>
        <w:t>。下一步改进措施：一是</w:t>
      </w:r>
      <w:r>
        <w:rPr>
          <w:rFonts w:hint="eastAsia" w:ascii="仿宋_GB2312" w:hAnsi="仿宋_GB2312" w:eastAsia="仿宋_GB2312" w:cs="仿宋_GB2312"/>
          <w:i w:val="0"/>
          <w:iCs w:val="0"/>
          <w:caps w:val="0"/>
          <w:color w:val="333333"/>
          <w:spacing w:val="0"/>
          <w:sz w:val="28"/>
          <w:szCs w:val="28"/>
          <w:shd w:val="clear" w:color="auto" w:fill="FFFFFF"/>
        </w:rPr>
        <w:t>部门应采取措施加强对预算项目实施的进度跟踪</w:t>
      </w:r>
      <w:r>
        <w:rPr>
          <w:rFonts w:hint="eastAsia" w:ascii="仿宋_GB2312" w:eastAsia="仿宋_GB2312" w:cs="仿宋_GB2312"/>
          <w:kern w:val="0"/>
          <w:sz w:val="32"/>
          <w:szCs w:val="32"/>
        </w:rPr>
        <w:t>；二是</w:t>
      </w:r>
      <w:r>
        <w:rPr>
          <w:rFonts w:hint="eastAsia" w:ascii="仿宋_GB2312" w:hAnsi="仿宋_GB2312" w:eastAsia="仿宋_GB2312" w:cs="仿宋_GB2312"/>
          <w:i w:val="0"/>
          <w:iCs w:val="0"/>
          <w:caps w:val="0"/>
          <w:color w:val="333333"/>
          <w:spacing w:val="0"/>
          <w:sz w:val="28"/>
          <w:szCs w:val="28"/>
          <w:shd w:val="clear" w:color="auto" w:fill="FFFFFF"/>
        </w:rPr>
        <w:t>及时掌握预算项目及资金支付中存在的问题，加强对项目实施资金的保障</w:t>
      </w:r>
      <w:r>
        <w:rPr>
          <w:rFonts w:hint="eastAsia" w:ascii="仿宋_GB2312" w:eastAsia="仿宋_GB2312" w:cs="仿宋_GB2312"/>
          <w:kern w:val="0"/>
          <w:sz w:val="32"/>
          <w:szCs w:val="32"/>
        </w:rPr>
        <w:t>。</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kern w:val="0"/>
          <w:sz w:val="32"/>
          <w:szCs w:val="32"/>
        </w:rPr>
        <w:t xml:space="preserve"> </w:t>
      </w:r>
    </w:p>
    <w:tbl>
      <w:tblPr>
        <w:tblW w:w="16063" w:type="dxa"/>
        <w:tblInd w:w="0" w:type="dxa"/>
        <w:shd w:val="clear"/>
        <w:tblLayout w:type="fixed"/>
        <w:tblCellMar>
          <w:top w:w="0" w:type="dxa"/>
          <w:left w:w="0" w:type="dxa"/>
          <w:bottom w:w="0" w:type="dxa"/>
          <w:right w:w="0" w:type="dxa"/>
        </w:tblCellMar>
      </w:tblPr>
      <w:tblGrid>
        <w:gridCol w:w="972"/>
        <w:gridCol w:w="972"/>
        <w:gridCol w:w="1013"/>
        <w:gridCol w:w="2592"/>
        <w:gridCol w:w="689"/>
        <w:gridCol w:w="1789"/>
        <w:gridCol w:w="2090"/>
        <w:gridCol w:w="4167"/>
        <w:gridCol w:w="1539"/>
        <w:gridCol w:w="240"/>
      </w:tblGrid>
      <w:tr>
        <w:tblPrEx>
          <w:shd w:val="clear"/>
          <w:tblLayout w:type="fixed"/>
          <w:tblCellMar>
            <w:top w:w="0" w:type="dxa"/>
            <w:left w:w="0" w:type="dxa"/>
            <w:bottom w:w="0" w:type="dxa"/>
            <w:right w:w="0" w:type="dxa"/>
          </w:tblCellMar>
        </w:tblPrEx>
        <w:trPr>
          <w:trHeight w:val="300" w:hRule="atLeast"/>
        </w:trPr>
        <w:tc>
          <w:tcPr>
            <w:tcW w:w="1944" w:type="dxa"/>
            <w:gridSpan w:val="2"/>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附件3：</w:t>
            </w:r>
          </w:p>
        </w:tc>
        <w:tc>
          <w:tcPr>
            <w:tcW w:w="1013"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592"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090"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167"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3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8" w:hRule="atLeast"/>
        </w:trPr>
        <w:tc>
          <w:tcPr>
            <w:tcW w:w="16063"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p>
        </w:tc>
      </w:tr>
      <w:tr>
        <w:tblPrEx>
          <w:tblLayout w:type="fixed"/>
          <w:tblCellMar>
            <w:top w:w="0" w:type="dxa"/>
            <w:left w:w="0" w:type="dxa"/>
            <w:bottom w:w="0" w:type="dxa"/>
            <w:right w:w="0" w:type="dxa"/>
          </w:tblCellMar>
        </w:tblPrEx>
        <w:trPr>
          <w:trHeight w:val="300" w:hRule="atLeast"/>
        </w:trPr>
        <w:tc>
          <w:tcPr>
            <w:tcW w:w="1944" w:type="dxa"/>
            <w:gridSpan w:val="2"/>
            <w:tcBorders>
              <w:top w:val="nil"/>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w:t>
            </w:r>
          </w:p>
        </w:tc>
        <w:tc>
          <w:tcPr>
            <w:tcW w:w="1013"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592"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8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90"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4167"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3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40"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3106"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挂牌交易服务费支付公告费等费用</w:t>
            </w: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507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036"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项目实施单位：鹿寨县土地交易储备中心</w:t>
            </w:r>
          </w:p>
        </w:tc>
      </w:tr>
      <w:tr>
        <w:tblPrEx>
          <w:tblLayout w:type="fixed"/>
          <w:tblCellMar>
            <w:top w:w="0" w:type="dxa"/>
            <w:left w:w="0" w:type="dxa"/>
            <w:bottom w:w="0" w:type="dxa"/>
            <w:right w:w="0" w:type="dxa"/>
          </w:tblCellMar>
        </w:tblPrEx>
        <w:trPr>
          <w:trHeight w:val="400" w:hRule="atLeast"/>
        </w:trPr>
        <w:tc>
          <w:tcPr>
            <w:tcW w:w="295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项目资金执行情况（万元）</w:t>
            </w: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5946"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w:t>
            </w:r>
          </w:p>
        </w:tc>
        <w:tc>
          <w:tcPr>
            <w:tcW w:w="594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
        <w:trPr>
          <w:trHeight w:val="557"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 xml:space="preserve"> </w:t>
            </w:r>
            <w:r>
              <w:rPr>
                <w:rStyle w:val="13"/>
                <w:bdr w:val="none" w:color="auto" w:sz="0" w:space="0"/>
                <w:lang w:val="en-US" w:eastAsia="zh-CN" w:bidi="ar"/>
              </w:rPr>
              <w:t xml:space="preserve">   其中：一般公共预算</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94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594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
        <w:trPr>
          <w:trHeight w:val="4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bookmarkStart w:id="0" w:name="_GoBack"/>
            <w:bookmarkEnd w:id="0"/>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94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w:t>
            </w:r>
          </w:p>
        </w:tc>
        <w:tc>
          <w:tcPr>
            <w:tcW w:w="11327" w:type="dxa"/>
            <w:gridSpan w:val="5"/>
            <w:tcBorders>
              <w:top w:val="single" w:color="000000" w:sz="4" w:space="0"/>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
        <w:trPr>
          <w:trHeight w:val="1180" w:hRule="atLeast"/>
        </w:trPr>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15091"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根据城市发展和市场需要，保证挂牌拍卖土地相关工作顺利进行，保证拍卖地块项目按计划按质按量完成 </w:t>
            </w:r>
          </w:p>
        </w:tc>
      </w:tr>
      <w:tr>
        <w:tblPrEx>
          <w:tblLayout w:type="fixed"/>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分值</w:t>
            </w: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p>
        </w:tc>
        <w:tc>
          <w:tcPr>
            <w:tcW w:w="416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得分</w:t>
            </w:r>
          </w:p>
        </w:tc>
        <w:tc>
          <w:tcPr>
            <w:tcW w:w="1779" w:type="dxa"/>
            <w:gridSpan w:val="2"/>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未完成原因分析</w:t>
            </w: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(50分)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25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1：出让地块宗数</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15宗</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49宗</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2：完成收费收入</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100万元</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397.83万元</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5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1：1-12月成交完成数量</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是否全部完成挂牌并签订确认书95%</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2：收费收入缴库情况</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挂牌交易服务费收入缴库达95%</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1：按计划完成</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1-12月</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1-12月</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1：支出10万元</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支出达到95%以上</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(30分)</w:t>
            </w:r>
          </w:p>
        </w:tc>
        <w:tc>
          <w:tcPr>
            <w:tcW w:w="1013"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1：完成年度计划收费收入</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100万元</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397.83万元</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1：满足土地市场需求</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1：有效合理开发土地</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1：满足土地市场供应</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779"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1013" w:type="dxa"/>
            <w:vMerge w:val="restart"/>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1：服务对象满意度</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779" w:type="dxa"/>
            <w:gridSpan w:val="2"/>
            <w:vMerge w:val="restart"/>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79" w:type="dxa"/>
            <w:gridSpan w:val="2"/>
            <w:vMerge w:val="continue"/>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  分</w:t>
            </w:r>
          </w:p>
        </w:tc>
        <w:tc>
          <w:tcPr>
            <w:tcW w:w="11327" w:type="dxa"/>
            <w:gridSpan w:val="5"/>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98</w:t>
            </w:r>
          </w:p>
        </w:tc>
        <w:tc>
          <w:tcPr>
            <w:tcW w:w="177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
        <w:trPr>
          <w:trHeight w:val="285" w:hRule="atLeast"/>
        </w:trPr>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66"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填报人：杨松</w:t>
            </w:r>
          </w:p>
        </w:tc>
        <w:tc>
          <w:tcPr>
            <w:tcW w:w="8046" w:type="dxa"/>
            <w:gridSpan w:val="3"/>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联系电话：0772-6820872</w:t>
            </w:r>
          </w:p>
        </w:tc>
        <w:tc>
          <w:tcPr>
            <w:tcW w:w="153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trPr>
        <w:tc>
          <w:tcPr>
            <w:tcW w:w="16063"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注：1</w:t>
            </w:r>
            <w:r>
              <w:rPr>
                <w:rStyle w:val="14"/>
                <w:bdr w:val="none" w:color="auto" w:sz="0" w:space="0"/>
                <w:lang w:val="en-US" w:eastAsia="zh-CN" w:bidi="ar"/>
              </w:rPr>
              <w:t>.得分一档最高不能超过该指标分值上限；</w:t>
            </w:r>
          </w:p>
        </w:tc>
      </w:tr>
      <w:tr>
        <w:tblPrEx>
          <w:tblLayout w:type="fixed"/>
          <w:tblCellMar>
            <w:top w:w="0" w:type="dxa"/>
            <w:left w:w="0" w:type="dxa"/>
            <w:bottom w:w="0" w:type="dxa"/>
            <w:right w:w="0" w:type="dxa"/>
          </w:tblCellMar>
        </w:tblPrEx>
        <w:trPr>
          <w:trHeight w:val="680" w:hRule="atLeast"/>
        </w:trPr>
        <w:tc>
          <w:tcPr>
            <w:tcW w:w="16063"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288" w:hRule="atLeast"/>
        </w:trPr>
        <w:tc>
          <w:tcPr>
            <w:tcW w:w="16063"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r>
    </w:tbl>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sectPr>
          <w:pgSz w:w="16838" w:h="11906" w:orient="landscape"/>
          <w:pgMar w:top="1797" w:right="283" w:bottom="1797" w:left="283" w:header="851" w:footer="992" w:gutter="0"/>
          <w:paperSrc/>
          <w:pgNumType w:fmt="numberInDash"/>
          <w:cols w:space="0" w:num="1"/>
          <w:rtlGutter w:val="0"/>
          <w:docGrid w:type="lines" w:linePitch="312" w:charSpace="0"/>
        </w:sect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96514"/>
    <w:multiLevelType w:val="singleLevel"/>
    <w:tmpl w:val="5FA965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mExNjc2YTM4MzY2ZmQ2MWQzYjRkOTMyZmY2MTIifQ=="/>
  </w:docVars>
  <w:rsids>
    <w:rsidRoot w:val="4C256E3D"/>
    <w:rsid w:val="00066CA3"/>
    <w:rsid w:val="006C1367"/>
    <w:rsid w:val="00715385"/>
    <w:rsid w:val="00F66C5B"/>
    <w:rsid w:val="05352423"/>
    <w:rsid w:val="094B45FA"/>
    <w:rsid w:val="0A0C33E4"/>
    <w:rsid w:val="0A8A78E0"/>
    <w:rsid w:val="0A995DFC"/>
    <w:rsid w:val="0B424B1D"/>
    <w:rsid w:val="0C5201D5"/>
    <w:rsid w:val="0DA86951"/>
    <w:rsid w:val="0E074DDF"/>
    <w:rsid w:val="0F0F5ED6"/>
    <w:rsid w:val="124204B5"/>
    <w:rsid w:val="12D12F07"/>
    <w:rsid w:val="14F016D4"/>
    <w:rsid w:val="15823E15"/>
    <w:rsid w:val="1612602D"/>
    <w:rsid w:val="16B90A0F"/>
    <w:rsid w:val="182962AB"/>
    <w:rsid w:val="18E35856"/>
    <w:rsid w:val="19D073EB"/>
    <w:rsid w:val="1A650904"/>
    <w:rsid w:val="1CC31F67"/>
    <w:rsid w:val="1F9C6A9E"/>
    <w:rsid w:val="2249565E"/>
    <w:rsid w:val="24D337DC"/>
    <w:rsid w:val="26460DBA"/>
    <w:rsid w:val="2AD20B81"/>
    <w:rsid w:val="2B6F74EB"/>
    <w:rsid w:val="2C1F0B15"/>
    <w:rsid w:val="2C4219FE"/>
    <w:rsid w:val="2FB679F5"/>
    <w:rsid w:val="335718FE"/>
    <w:rsid w:val="34020F86"/>
    <w:rsid w:val="341361ED"/>
    <w:rsid w:val="39A63F06"/>
    <w:rsid w:val="3ADC4B71"/>
    <w:rsid w:val="3C017E2C"/>
    <w:rsid w:val="3E3E0032"/>
    <w:rsid w:val="3E6F4772"/>
    <w:rsid w:val="3EA872B2"/>
    <w:rsid w:val="3ED1439F"/>
    <w:rsid w:val="3EE81823"/>
    <w:rsid w:val="41DF54C4"/>
    <w:rsid w:val="42235D58"/>
    <w:rsid w:val="42490EDA"/>
    <w:rsid w:val="437A21FA"/>
    <w:rsid w:val="44500BF5"/>
    <w:rsid w:val="45D603C3"/>
    <w:rsid w:val="471B10AB"/>
    <w:rsid w:val="47F43786"/>
    <w:rsid w:val="48374EDC"/>
    <w:rsid w:val="4C256E3D"/>
    <w:rsid w:val="4CB52F0F"/>
    <w:rsid w:val="4E2875DF"/>
    <w:rsid w:val="50C04C3A"/>
    <w:rsid w:val="50F35421"/>
    <w:rsid w:val="527B7240"/>
    <w:rsid w:val="532F1F9A"/>
    <w:rsid w:val="55744277"/>
    <w:rsid w:val="5DBB25AC"/>
    <w:rsid w:val="5E995A3E"/>
    <w:rsid w:val="5F933EA7"/>
    <w:rsid w:val="5F95061E"/>
    <w:rsid w:val="5FC1266C"/>
    <w:rsid w:val="608E7067"/>
    <w:rsid w:val="617E254E"/>
    <w:rsid w:val="62163194"/>
    <w:rsid w:val="624D024D"/>
    <w:rsid w:val="650E086A"/>
    <w:rsid w:val="65493030"/>
    <w:rsid w:val="6BAA0708"/>
    <w:rsid w:val="70046E9D"/>
    <w:rsid w:val="72231A60"/>
    <w:rsid w:val="722E04FC"/>
    <w:rsid w:val="743631A3"/>
    <w:rsid w:val="75AF6C8B"/>
    <w:rsid w:val="76C124A5"/>
    <w:rsid w:val="77474C4B"/>
    <w:rsid w:val="77B644B4"/>
    <w:rsid w:val="7C4838A5"/>
    <w:rsid w:val="7F0E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61"/>
    <w:basedOn w:val="6"/>
    <w:uiPriority w:val="0"/>
    <w:rPr>
      <w:rFonts w:hint="eastAsia" w:ascii="宋体" w:hAnsi="宋体" w:eastAsia="宋体" w:cs="宋体"/>
      <w:color w:val="000000"/>
      <w:sz w:val="20"/>
      <w:szCs w:val="20"/>
      <w:u w:val="none"/>
    </w:rPr>
  </w:style>
  <w:style w:type="character" w:customStyle="1" w:styleId="13">
    <w:name w:val="font101"/>
    <w:basedOn w:val="6"/>
    <w:uiPriority w:val="0"/>
    <w:rPr>
      <w:rFonts w:hint="eastAsia" w:ascii="宋体" w:hAnsi="宋体" w:eastAsia="宋体" w:cs="宋体"/>
      <w:color w:val="000000"/>
      <w:sz w:val="20"/>
      <w:szCs w:val="20"/>
      <w:u w:val="none"/>
    </w:rPr>
  </w:style>
  <w:style w:type="character" w:customStyle="1" w:styleId="14">
    <w:name w:val="font9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6100</Words>
  <Characters>6723</Characters>
  <Lines>60</Lines>
  <Paragraphs>17</Paragraphs>
  <TotalTime>10</TotalTime>
  <ScaleCrop>false</ScaleCrop>
  <LinksUpToDate>false</LinksUpToDate>
  <CharactersWithSpaces>6833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2022-09-27T07:11:36Z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