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仿宋_GB2312" w:eastAsia="仿宋_GB2312" w:cs="ArialUnicodeMS"/>
          <w:kern w:val="0"/>
          <w:sz w:val="32"/>
          <w:szCs w:val="32"/>
          <w:u w:val="none"/>
        </w:rPr>
      </w:pPr>
    </w:p>
    <w:p>
      <w:pPr>
        <w:spacing w:beforeLines="0" w:afterLines="0"/>
        <w:rPr>
          <w:rFonts w:hint="eastAsia" w:ascii="黑体" w:eastAsia="黑体" w:cs="ArialUnicodeMS"/>
          <w:kern w:val="0"/>
          <w:sz w:val="72"/>
          <w:szCs w:val="72"/>
          <w:u w:val="none"/>
        </w:rPr>
      </w:pPr>
    </w:p>
    <w:p>
      <w:pPr>
        <w:spacing w:beforeLines="0" w:afterLines="0"/>
        <w:rPr>
          <w:rFonts w:hint="eastAsia" w:ascii="黑体" w:eastAsia="黑体" w:cs="ArialUnicodeMS"/>
          <w:kern w:val="0"/>
          <w:sz w:val="72"/>
          <w:szCs w:val="72"/>
          <w:u w:val="none"/>
        </w:rPr>
      </w:pPr>
    </w:p>
    <w:p>
      <w:pPr>
        <w:spacing w:beforeLines="0" w:afterLines="0"/>
        <w:jc w:val="center"/>
        <w:rPr>
          <w:rFonts w:hint="eastAsia" w:ascii="黑体" w:hAnsi="黑体" w:eastAsia="黑体"/>
          <w:color w:val="000000"/>
          <w:sz w:val="52"/>
          <w:szCs w:val="52"/>
          <w:u w:val="none"/>
          <w:lang w:eastAsia="zh-CN"/>
        </w:rPr>
      </w:pPr>
      <w:r>
        <w:rPr>
          <w:rFonts w:hint="eastAsia" w:ascii="黑体" w:eastAsia="黑体" w:cs="ArialUnicodeMS"/>
          <w:kern w:val="0"/>
          <w:sz w:val="52"/>
          <w:szCs w:val="52"/>
          <w:u w:val="none"/>
        </w:rPr>
        <w:t>鹿寨县</w:t>
      </w:r>
      <w:r>
        <w:rPr>
          <w:rFonts w:hint="eastAsia" w:ascii="黑体" w:hAnsi="黑体" w:eastAsia="黑体"/>
          <w:color w:val="000000"/>
          <w:sz w:val="52"/>
          <w:szCs w:val="52"/>
          <w:u w:val="none"/>
          <w:lang w:eastAsia="zh-CN"/>
        </w:rPr>
        <w:t>史志办公室</w:t>
      </w:r>
    </w:p>
    <w:p>
      <w:pPr>
        <w:spacing w:beforeLines="0" w:afterLines="0"/>
        <w:jc w:val="center"/>
        <w:rPr>
          <w:rFonts w:hint="eastAsia" w:ascii="黑体" w:eastAsia="黑体" w:cs="ArialUnicodeMS"/>
          <w:kern w:val="0"/>
          <w:sz w:val="52"/>
          <w:szCs w:val="52"/>
          <w:u w:val="none"/>
        </w:rPr>
      </w:pPr>
      <w:r>
        <w:rPr>
          <w:rFonts w:hint="eastAsia" w:ascii="黑体" w:eastAsia="黑体"/>
          <w:kern w:val="0"/>
          <w:sz w:val="52"/>
          <w:szCs w:val="52"/>
          <w:u w:val="none"/>
        </w:rPr>
        <w:t>2021</w:t>
      </w:r>
      <w:r>
        <w:rPr>
          <w:rFonts w:hint="eastAsia" w:ascii="黑体" w:eastAsia="黑体" w:cs="ArialUnicodeMS"/>
          <w:kern w:val="0"/>
          <w:sz w:val="52"/>
          <w:szCs w:val="52"/>
          <w:u w:val="none"/>
        </w:rPr>
        <w:t>年度部门决算</w:t>
      </w:r>
    </w:p>
    <w:p>
      <w:pPr>
        <w:spacing w:beforeLines="0" w:afterLines="0"/>
        <w:rPr>
          <w:rFonts w:hint="eastAsia" w:ascii="ArialUnicodeMS" w:eastAsia="ArialUnicodeMS" w:cs="ArialUnicodeMS"/>
          <w:kern w:val="0"/>
          <w:sz w:val="84"/>
          <w:szCs w:val="84"/>
          <w:u w:val="none"/>
        </w:rPr>
      </w:pPr>
    </w:p>
    <w:p>
      <w:pPr>
        <w:spacing w:beforeLines="0" w:afterLines="0"/>
        <w:rPr>
          <w:rFonts w:hint="eastAsia" w:ascii="ArialUnicodeMS" w:eastAsia="ArialUnicodeMS" w:cs="ArialUnicodeMS"/>
          <w:kern w:val="0"/>
          <w:sz w:val="84"/>
          <w:szCs w:val="84"/>
          <w:u w:val="none"/>
        </w:rPr>
      </w:pPr>
    </w:p>
    <w:p>
      <w:pPr>
        <w:spacing w:beforeLines="0" w:afterLines="0"/>
        <w:rPr>
          <w:rFonts w:hint="eastAsia" w:ascii="ArialUnicodeMS" w:eastAsia="ArialUnicodeMS" w:cs="ArialUnicodeMS"/>
          <w:kern w:val="0"/>
          <w:sz w:val="84"/>
          <w:szCs w:val="84"/>
          <w:u w:val="none"/>
        </w:rPr>
      </w:pPr>
    </w:p>
    <w:p>
      <w:pPr>
        <w:spacing w:beforeLines="0" w:afterLines="0"/>
        <w:rPr>
          <w:rFonts w:hint="eastAsia" w:ascii="ArialUnicodeMS" w:eastAsia="ArialUnicodeMS" w:cs="ArialUnicodeMS"/>
          <w:kern w:val="0"/>
          <w:sz w:val="84"/>
          <w:szCs w:val="84"/>
          <w:u w:val="none"/>
        </w:rPr>
      </w:pPr>
    </w:p>
    <w:p>
      <w:pPr>
        <w:spacing w:beforeLines="0" w:afterLines="0"/>
        <w:rPr>
          <w:rFonts w:hint="eastAsia" w:ascii="ArialUnicodeMS" w:eastAsia="ArialUnicodeMS" w:cs="ArialUnicodeMS"/>
          <w:kern w:val="0"/>
          <w:sz w:val="84"/>
          <w:szCs w:val="84"/>
          <w:u w:val="none"/>
        </w:rPr>
      </w:pPr>
    </w:p>
    <w:p>
      <w:pPr>
        <w:spacing w:beforeLines="0" w:afterLines="0"/>
        <w:rPr>
          <w:rFonts w:hint="eastAsia" w:ascii="ArialUnicodeMS" w:eastAsia="ArialUnicodeMS" w:cs="ArialUnicodeMS"/>
          <w:kern w:val="0"/>
          <w:sz w:val="84"/>
          <w:szCs w:val="84"/>
          <w:u w:val="none"/>
        </w:rPr>
      </w:pPr>
    </w:p>
    <w:p>
      <w:pPr>
        <w:spacing w:beforeLines="0" w:afterLines="0"/>
        <w:rPr>
          <w:rFonts w:hint="eastAsia" w:ascii="ArialUnicodeMS" w:eastAsia="ArialUnicodeMS" w:cs="ArialUnicodeMS"/>
          <w:kern w:val="0"/>
          <w:sz w:val="84"/>
          <w:szCs w:val="84"/>
          <w:u w:val="none"/>
        </w:rPr>
      </w:pPr>
    </w:p>
    <w:p>
      <w:pPr>
        <w:spacing w:beforeLines="0" w:afterLines="0"/>
        <w:jc w:val="center"/>
        <w:rPr>
          <w:rFonts w:hint="eastAsia" w:ascii="黑体" w:eastAsia="黑体" w:cs="黑体"/>
          <w:kern w:val="0"/>
          <w:sz w:val="44"/>
          <w:szCs w:val="44"/>
          <w:u w:val="none"/>
        </w:rPr>
      </w:pPr>
    </w:p>
    <w:p>
      <w:pPr>
        <w:spacing w:beforeLines="0" w:afterLines="0"/>
        <w:ind w:firstLine="646"/>
        <w:jc w:val="center"/>
        <w:rPr>
          <w:rFonts w:hint="eastAsia" w:ascii="方正小标宋简体" w:eastAsia="方正小标宋简体"/>
          <w:b/>
          <w:sz w:val="44"/>
          <w:szCs w:val="44"/>
          <w:u w:val="none"/>
        </w:rPr>
      </w:pPr>
      <w:r>
        <w:rPr>
          <w:rFonts w:hint="eastAsia" w:ascii="方正小标宋简体" w:eastAsia="方正小标宋简体"/>
          <w:b/>
          <w:sz w:val="44"/>
          <w:szCs w:val="44"/>
          <w:u w:val="none"/>
        </w:rPr>
        <w:t>目    录</w:t>
      </w:r>
    </w:p>
    <w:p>
      <w:pPr>
        <w:spacing w:beforeLines="0" w:afterLines="0"/>
        <w:ind w:firstLine="645"/>
        <w:rPr>
          <w:rFonts w:hint="eastAsia" w:ascii="仿宋_GB2312" w:eastAsia="仿宋_GB2312"/>
          <w:b/>
          <w:sz w:val="32"/>
          <w:szCs w:val="32"/>
          <w:u w:val="none"/>
        </w:rPr>
      </w:pPr>
    </w:p>
    <w:p>
      <w:pPr>
        <w:spacing w:beforeLines="0" w:afterLines="0"/>
        <w:ind w:firstLine="645"/>
        <w:rPr>
          <w:rFonts w:hint="eastAsia" w:ascii="仿宋_GB2312" w:eastAsia="仿宋_GB2312"/>
          <w:b/>
          <w:sz w:val="32"/>
          <w:szCs w:val="32"/>
          <w:u w:val="none"/>
        </w:rPr>
      </w:pPr>
      <w:r>
        <w:rPr>
          <w:rFonts w:hint="eastAsia" w:ascii="仿宋_GB2312" w:eastAsia="仿宋_GB2312"/>
          <w:b/>
          <w:sz w:val="32"/>
          <w:szCs w:val="32"/>
          <w:u w:val="none"/>
        </w:rPr>
        <w:t>第一部分：</w:t>
      </w:r>
      <w:r>
        <w:rPr>
          <w:rFonts w:hint="eastAsia" w:ascii="仿宋_GB2312" w:hAnsi="黑体" w:eastAsia="仿宋_GB2312"/>
          <w:b/>
          <w:color w:val="000000"/>
          <w:sz w:val="32"/>
          <w:szCs w:val="32"/>
          <w:u w:val="none"/>
          <w:lang w:eastAsia="zh-CN"/>
        </w:rPr>
        <w:t>鹿寨县史志办公室</w:t>
      </w:r>
      <w:r>
        <w:rPr>
          <w:rFonts w:hint="eastAsia" w:ascii="仿宋_GB2312" w:eastAsia="仿宋_GB2312"/>
          <w:b/>
          <w:sz w:val="32"/>
          <w:szCs w:val="32"/>
          <w:u w:val="none"/>
        </w:rPr>
        <w:t>概况</w:t>
      </w:r>
    </w:p>
    <w:p>
      <w:pPr>
        <w:spacing w:beforeLines="0" w:afterLines="0"/>
        <w:ind w:firstLine="645"/>
        <w:rPr>
          <w:rFonts w:hint="eastAsia" w:ascii="仿宋_GB2312" w:eastAsia="仿宋_GB2312"/>
          <w:sz w:val="32"/>
          <w:szCs w:val="32"/>
          <w:u w:val="none"/>
        </w:rPr>
      </w:pPr>
      <w:r>
        <w:rPr>
          <w:rFonts w:hint="eastAsia" w:ascii="仿宋_GB2312" w:eastAsia="仿宋_GB2312"/>
          <w:sz w:val="32"/>
          <w:szCs w:val="32"/>
          <w:u w:val="none"/>
        </w:rPr>
        <w:t>一、主要职能</w:t>
      </w:r>
    </w:p>
    <w:p>
      <w:pPr>
        <w:spacing w:beforeLines="0" w:afterLines="0"/>
        <w:ind w:firstLine="645"/>
        <w:rPr>
          <w:rFonts w:hint="eastAsia" w:ascii="仿宋_GB2312" w:eastAsia="仿宋_GB2312"/>
          <w:sz w:val="32"/>
          <w:szCs w:val="32"/>
          <w:u w:val="none"/>
        </w:rPr>
      </w:pPr>
      <w:r>
        <w:rPr>
          <w:rFonts w:hint="eastAsia" w:ascii="仿宋_GB2312" w:eastAsia="仿宋_GB2312"/>
          <w:sz w:val="32"/>
          <w:szCs w:val="32"/>
          <w:u w:val="none"/>
        </w:rPr>
        <w:t>二、部门决算单位构成</w:t>
      </w:r>
    </w:p>
    <w:p>
      <w:pPr>
        <w:spacing w:beforeLines="0" w:afterLines="0"/>
        <w:ind w:firstLine="645"/>
        <w:rPr>
          <w:rFonts w:hint="eastAsia"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hAnsi="黑体" w:eastAsia="仿宋_GB2312"/>
          <w:b/>
          <w:color w:val="000000"/>
          <w:sz w:val="32"/>
          <w:szCs w:val="32"/>
          <w:u w:val="none"/>
          <w:lang w:eastAsia="zh-CN"/>
        </w:rPr>
        <w:t>鹿寨县史志办公室</w:t>
      </w:r>
      <w:r>
        <w:rPr>
          <w:rFonts w:hint="eastAsia" w:ascii="仿宋_GB2312" w:eastAsia="仿宋_GB2312"/>
          <w:b/>
          <w:sz w:val="32"/>
          <w:szCs w:val="32"/>
          <w:u w:val="none"/>
        </w:rPr>
        <w:t>2021年部门决算报表</w:t>
      </w:r>
    </w:p>
    <w:p>
      <w:pPr>
        <w:spacing w:beforeLines="0" w:afterLines="0"/>
        <w:ind w:left="645"/>
        <w:rPr>
          <w:rFonts w:hint="eastAsia" w:ascii="仿宋_GB2312" w:eastAsia="仿宋_GB2312"/>
          <w:sz w:val="32"/>
          <w:szCs w:val="32"/>
          <w:u w:val="none"/>
        </w:rPr>
      </w:pPr>
      <w:r>
        <w:rPr>
          <w:rFonts w:hint="eastAsia" w:ascii="仿宋_GB2312" w:eastAsia="仿宋_GB2312"/>
          <w:sz w:val="32"/>
          <w:szCs w:val="32"/>
          <w:u w:val="none"/>
        </w:rPr>
        <w:t>表一：收入支出决算总表</w:t>
      </w:r>
    </w:p>
    <w:p>
      <w:pPr>
        <w:spacing w:beforeLines="0" w:afterLines="0"/>
        <w:ind w:left="645"/>
        <w:rPr>
          <w:rFonts w:hint="eastAsia" w:ascii="仿宋_GB2312" w:eastAsia="仿宋_GB2312"/>
          <w:sz w:val="32"/>
          <w:szCs w:val="32"/>
          <w:u w:val="none"/>
        </w:rPr>
      </w:pPr>
      <w:r>
        <w:rPr>
          <w:rFonts w:hint="eastAsia" w:ascii="仿宋_GB2312" w:eastAsia="仿宋_GB2312"/>
          <w:sz w:val="32"/>
          <w:szCs w:val="32"/>
          <w:u w:val="none"/>
        </w:rPr>
        <w:t>表二：收入决算表</w:t>
      </w:r>
    </w:p>
    <w:p>
      <w:pPr>
        <w:spacing w:beforeLines="0" w:afterLines="0"/>
        <w:ind w:left="645"/>
        <w:rPr>
          <w:rFonts w:hint="eastAsia" w:ascii="仿宋_GB2312" w:eastAsia="仿宋_GB2312"/>
          <w:sz w:val="32"/>
          <w:szCs w:val="32"/>
          <w:u w:val="none"/>
        </w:rPr>
      </w:pPr>
      <w:r>
        <w:rPr>
          <w:rFonts w:hint="eastAsia" w:ascii="仿宋_GB2312" w:eastAsia="仿宋_GB2312"/>
          <w:sz w:val="32"/>
          <w:szCs w:val="32"/>
          <w:u w:val="none"/>
        </w:rPr>
        <w:t>表三：支出决算表</w:t>
      </w:r>
    </w:p>
    <w:p>
      <w:pPr>
        <w:spacing w:beforeLines="0" w:afterLines="0"/>
        <w:ind w:left="645"/>
        <w:rPr>
          <w:rFonts w:hint="eastAsia" w:ascii="仿宋_GB2312" w:eastAsia="仿宋_GB2312"/>
          <w:sz w:val="32"/>
          <w:szCs w:val="32"/>
          <w:u w:val="none"/>
        </w:rPr>
      </w:pPr>
      <w:r>
        <w:rPr>
          <w:rFonts w:hint="eastAsia" w:ascii="仿宋_GB2312" w:eastAsia="仿宋_GB2312"/>
          <w:sz w:val="32"/>
          <w:szCs w:val="32"/>
          <w:u w:val="none"/>
        </w:rPr>
        <w:t>表四：财政拨款收入支出决算总表</w:t>
      </w:r>
    </w:p>
    <w:p>
      <w:pPr>
        <w:spacing w:beforeLines="0" w:afterLines="0"/>
        <w:ind w:left="645"/>
        <w:rPr>
          <w:rFonts w:hint="eastAsia" w:ascii="仿宋_GB2312" w:eastAsia="仿宋_GB2312"/>
          <w:sz w:val="32"/>
          <w:szCs w:val="32"/>
          <w:u w:val="none"/>
        </w:rPr>
      </w:pPr>
      <w:r>
        <w:rPr>
          <w:rFonts w:hint="eastAsia" w:ascii="仿宋_GB2312" w:eastAsia="仿宋_GB2312"/>
          <w:sz w:val="32"/>
          <w:szCs w:val="32"/>
          <w:u w:val="none"/>
        </w:rPr>
        <w:t>表五：一般公共预算财政拨款支出决算表</w:t>
      </w:r>
    </w:p>
    <w:p>
      <w:pPr>
        <w:spacing w:beforeLines="0" w:afterLines="0"/>
        <w:ind w:left="645"/>
        <w:rPr>
          <w:rFonts w:hint="eastAsia" w:ascii="仿宋_GB2312" w:eastAsia="仿宋_GB2312"/>
          <w:sz w:val="32"/>
          <w:szCs w:val="32"/>
          <w:u w:val="none"/>
        </w:rPr>
      </w:pPr>
      <w:r>
        <w:rPr>
          <w:rFonts w:hint="eastAsia" w:ascii="仿宋_GB2312" w:eastAsia="仿宋_GB2312"/>
          <w:sz w:val="32"/>
          <w:szCs w:val="32"/>
          <w:u w:val="none"/>
        </w:rPr>
        <w:t>表六：一般公共预算财政拨款基本支出决算表</w:t>
      </w:r>
    </w:p>
    <w:p>
      <w:pPr>
        <w:spacing w:beforeLines="0" w:afterLines="0"/>
        <w:ind w:left="645"/>
        <w:rPr>
          <w:rFonts w:hint="eastAsia" w:ascii="仿宋_GB2312" w:eastAsia="仿宋_GB2312"/>
          <w:sz w:val="32"/>
          <w:szCs w:val="32"/>
          <w:u w:val="none"/>
        </w:rPr>
      </w:pPr>
      <w:r>
        <w:rPr>
          <w:rFonts w:hint="eastAsia" w:ascii="仿宋_GB2312" w:eastAsia="仿宋_GB2312"/>
          <w:sz w:val="32"/>
          <w:szCs w:val="32"/>
          <w:u w:val="none"/>
        </w:rPr>
        <w:t>表七：一般公共预算财政拨款安排的“三公”经费支出决算表</w:t>
      </w:r>
    </w:p>
    <w:p>
      <w:pPr>
        <w:spacing w:beforeLines="0" w:afterLines="0"/>
        <w:ind w:left="645"/>
        <w:rPr>
          <w:rFonts w:hint="eastAsia" w:ascii="仿宋_GB2312" w:eastAsia="仿宋_GB2312"/>
          <w:sz w:val="32"/>
          <w:szCs w:val="32"/>
          <w:u w:val="none"/>
        </w:rPr>
      </w:pPr>
      <w:r>
        <w:rPr>
          <w:rFonts w:hint="eastAsia" w:ascii="仿宋_GB2312" w:eastAsia="仿宋_GB2312"/>
          <w:sz w:val="32"/>
          <w:szCs w:val="32"/>
          <w:u w:val="none"/>
        </w:rPr>
        <w:t>表八：政府性基金</w:t>
      </w:r>
      <w:r>
        <w:rPr>
          <w:rFonts w:hint="eastAsia" w:ascii="仿宋_GB2312" w:hAnsi="黑体" w:eastAsia="仿宋_GB2312"/>
          <w:sz w:val="32"/>
          <w:szCs w:val="32"/>
          <w:u w:val="none"/>
        </w:rPr>
        <w:t>预算财政拨款</w:t>
      </w:r>
      <w:r>
        <w:rPr>
          <w:rFonts w:hint="eastAsia" w:ascii="仿宋_GB2312" w:eastAsia="仿宋_GB2312"/>
          <w:sz w:val="32"/>
          <w:szCs w:val="32"/>
          <w:u w:val="none"/>
        </w:rPr>
        <w:t>收入支出决算表</w:t>
      </w:r>
    </w:p>
    <w:p>
      <w:pPr>
        <w:spacing w:beforeLines="0" w:afterLines="0"/>
        <w:ind w:firstLine="645"/>
        <w:rPr>
          <w:rFonts w:hint="eastAsia" w:ascii="仿宋_GB2312" w:eastAsia="仿宋_GB2312"/>
          <w:sz w:val="32"/>
          <w:szCs w:val="32"/>
          <w:u w:val="none"/>
        </w:rPr>
      </w:pPr>
      <w:r>
        <w:rPr>
          <w:rFonts w:hint="eastAsia" w:ascii="仿宋_GB2312" w:eastAsia="仿宋_GB2312"/>
          <w:sz w:val="32"/>
          <w:szCs w:val="32"/>
          <w:u w:val="none"/>
        </w:rPr>
        <w:t>表九：国有资本经营预算</w:t>
      </w:r>
      <w:r>
        <w:rPr>
          <w:rFonts w:hint="eastAsia" w:ascii="仿宋_GB2312" w:hAnsi="黑体" w:eastAsia="仿宋_GB2312"/>
          <w:sz w:val="32"/>
          <w:szCs w:val="32"/>
          <w:u w:val="none"/>
        </w:rPr>
        <w:t>财政拨款</w:t>
      </w:r>
      <w:r>
        <w:rPr>
          <w:rFonts w:hint="eastAsia" w:ascii="仿宋_GB2312" w:eastAsia="仿宋_GB2312"/>
          <w:sz w:val="32"/>
          <w:szCs w:val="32"/>
          <w:u w:val="none"/>
        </w:rPr>
        <w:t>收入支出决算表</w:t>
      </w:r>
    </w:p>
    <w:p>
      <w:pPr>
        <w:spacing w:beforeLines="0" w:afterLines="0"/>
        <w:ind w:firstLine="645"/>
        <w:rPr>
          <w:rFonts w:hint="eastAsia" w:ascii="仿宋_GB2312" w:eastAsia="仿宋_GB2312"/>
          <w:b/>
          <w:sz w:val="32"/>
          <w:szCs w:val="32"/>
          <w:u w:val="none"/>
        </w:rPr>
      </w:pPr>
      <w:r>
        <w:rPr>
          <w:rFonts w:hint="eastAsia" w:ascii="仿宋_GB2312" w:eastAsia="仿宋_GB2312"/>
          <w:b/>
          <w:sz w:val="32"/>
          <w:szCs w:val="32"/>
          <w:u w:val="none"/>
        </w:rPr>
        <w:t>第三部分：</w:t>
      </w:r>
      <w:r>
        <w:rPr>
          <w:rFonts w:hint="eastAsia" w:ascii="仿宋_GB2312" w:hAnsi="黑体" w:eastAsia="仿宋_GB2312"/>
          <w:b/>
          <w:color w:val="000000"/>
          <w:sz w:val="32"/>
          <w:szCs w:val="32"/>
          <w:u w:val="none"/>
          <w:lang w:eastAsia="zh-CN"/>
        </w:rPr>
        <w:t>鹿寨县史志办公室</w:t>
      </w:r>
      <w:r>
        <w:rPr>
          <w:rFonts w:hint="eastAsia" w:ascii="仿宋_GB2312" w:eastAsia="仿宋_GB2312"/>
          <w:b/>
          <w:sz w:val="32"/>
          <w:szCs w:val="32"/>
          <w:u w:val="none"/>
        </w:rPr>
        <w:t>2021年度部门决算情况说明</w:t>
      </w:r>
    </w:p>
    <w:p>
      <w:pPr>
        <w:autoSpaceDE w:val="0"/>
        <w:autoSpaceDN w:val="0"/>
        <w:adjustRightInd w:val="0"/>
        <w:spacing w:beforeLines="0" w:afterLines="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一、</w:t>
      </w:r>
      <w:r>
        <w:rPr>
          <w:rFonts w:hint="eastAsia" w:ascii="仿宋_GB2312" w:eastAsia="仿宋_GB2312"/>
          <w:kern w:val="0"/>
          <w:sz w:val="32"/>
          <w:szCs w:val="32"/>
          <w:u w:val="none"/>
        </w:rPr>
        <w:t xml:space="preserve">2021 </w:t>
      </w:r>
      <w:r>
        <w:rPr>
          <w:rFonts w:hint="eastAsia" w:ascii="仿宋_GB2312" w:eastAsia="仿宋_GB2312" w:cs="仿宋_GB2312"/>
          <w:kern w:val="0"/>
          <w:sz w:val="32"/>
          <w:szCs w:val="32"/>
          <w:u w:val="none"/>
        </w:rPr>
        <w:t>年度收入支出决算总体情况。</w:t>
      </w:r>
    </w:p>
    <w:p>
      <w:pPr>
        <w:autoSpaceDE w:val="0"/>
        <w:autoSpaceDN w:val="0"/>
        <w:adjustRightInd w:val="0"/>
        <w:spacing w:beforeLines="0" w:afterLines="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二、</w:t>
      </w:r>
      <w:r>
        <w:rPr>
          <w:rFonts w:hint="eastAsia" w:ascii="仿宋_GB2312" w:eastAsia="仿宋_GB2312"/>
          <w:kern w:val="0"/>
          <w:sz w:val="32"/>
          <w:szCs w:val="32"/>
          <w:u w:val="none"/>
        </w:rPr>
        <w:t xml:space="preserve">2021 </w:t>
      </w:r>
      <w:r>
        <w:rPr>
          <w:rFonts w:hint="eastAsia" w:ascii="仿宋_GB2312" w:eastAsia="仿宋_GB2312" w:cs="仿宋_GB2312"/>
          <w:kern w:val="0"/>
          <w:sz w:val="32"/>
          <w:szCs w:val="32"/>
          <w:u w:val="none"/>
        </w:rPr>
        <w:t>年度</w:t>
      </w:r>
      <w:r>
        <w:rPr>
          <w:rFonts w:hint="eastAsia" w:ascii="仿宋_GB2312" w:eastAsia="仿宋_GB2312"/>
          <w:sz w:val="32"/>
          <w:szCs w:val="32"/>
          <w:u w:val="none"/>
        </w:rPr>
        <w:t>一般</w:t>
      </w:r>
      <w:r>
        <w:rPr>
          <w:rFonts w:hint="eastAsia" w:ascii="仿宋_GB2312" w:eastAsia="仿宋_GB2312" w:cs="仿宋_GB2312"/>
          <w:kern w:val="0"/>
          <w:sz w:val="32"/>
          <w:szCs w:val="32"/>
          <w:u w:val="none"/>
        </w:rPr>
        <w:t>公共预算财政拨款支出决算情况。</w:t>
      </w:r>
    </w:p>
    <w:p>
      <w:pPr>
        <w:autoSpaceDE w:val="0"/>
        <w:autoSpaceDN w:val="0"/>
        <w:adjustRightInd w:val="0"/>
        <w:spacing w:beforeLines="0" w:afterLines="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三、2021年度一般公共预算财政拨款基本支出决算情况说明。</w:t>
      </w:r>
    </w:p>
    <w:p>
      <w:pPr>
        <w:autoSpaceDE w:val="0"/>
        <w:autoSpaceDN w:val="0"/>
        <w:adjustRightInd w:val="0"/>
        <w:spacing w:beforeLines="0" w:afterLines="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四、</w:t>
      </w:r>
      <w:r>
        <w:rPr>
          <w:rFonts w:hint="eastAsia" w:ascii="仿宋_GB2312" w:eastAsia="仿宋_GB2312"/>
          <w:kern w:val="0"/>
          <w:sz w:val="32"/>
          <w:szCs w:val="32"/>
          <w:u w:val="none"/>
        </w:rPr>
        <w:t xml:space="preserve">2021 </w:t>
      </w:r>
      <w:r>
        <w:rPr>
          <w:rFonts w:hint="eastAsia" w:ascii="仿宋_GB2312" w:eastAsia="仿宋_GB2312" w:cs="仿宋_GB2312"/>
          <w:kern w:val="0"/>
          <w:sz w:val="32"/>
          <w:szCs w:val="32"/>
          <w:u w:val="none"/>
        </w:rPr>
        <w:t>年度政府性基金支出决算情况。</w:t>
      </w:r>
    </w:p>
    <w:p>
      <w:pPr>
        <w:autoSpaceDE w:val="0"/>
        <w:autoSpaceDN w:val="0"/>
        <w:adjustRightInd w:val="0"/>
        <w:spacing w:beforeLines="0" w:afterLines="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五、2021年度国有资本经营预算支出决算情况</w:t>
      </w:r>
    </w:p>
    <w:p>
      <w:pPr>
        <w:autoSpaceDE w:val="0"/>
        <w:autoSpaceDN w:val="0"/>
        <w:adjustRightInd w:val="0"/>
        <w:spacing w:beforeLines="0" w:afterLines="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六、</w:t>
      </w:r>
      <w:r>
        <w:rPr>
          <w:rFonts w:hint="eastAsia" w:ascii="仿宋_GB2312" w:eastAsia="仿宋_GB2312"/>
          <w:sz w:val="32"/>
          <w:szCs w:val="32"/>
          <w:u w:val="none"/>
        </w:rPr>
        <w:t>一般</w:t>
      </w:r>
      <w:r>
        <w:rPr>
          <w:rFonts w:hint="eastAsia" w:ascii="仿宋_GB2312" w:eastAsia="仿宋_GB2312" w:cs="仿宋_GB2312"/>
          <w:kern w:val="0"/>
          <w:sz w:val="32"/>
          <w:szCs w:val="32"/>
          <w:u w:val="none"/>
        </w:rPr>
        <w:t>公共预算财政拨款安排的“三公”经费支出决算情况说明。</w:t>
      </w:r>
    </w:p>
    <w:p>
      <w:pPr>
        <w:autoSpaceDE w:val="0"/>
        <w:autoSpaceDN w:val="0"/>
        <w:adjustRightInd w:val="0"/>
        <w:spacing w:beforeLines="0" w:afterLines="0"/>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七、其他重要事项情况说明。</w:t>
      </w:r>
    </w:p>
    <w:p>
      <w:pPr>
        <w:spacing w:beforeLines="0" w:afterLines="0"/>
        <w:ind w:firstLine="645"/>
        <w:rPr>
          <w:rFonts w:hint="eastAsia" w:ascii="仿宋_GB2312" w:eastAsia="仿宋_GB2312"/>
          <w:b/>
          <w:sz w:val="32"/>
          <w:szCs w:val="32"/>
          <w:u w:val="none"/>
        </w:rPr>
      </w:pPr>
      <w:r>
        <w:rPr>
          <w:rFonts w:hint="eastAsia" w:ascii="仿宋_GB2312" w:eastAsia="仿宋_GB2312"/>
          <w:b/>
          <w:sz w:val="32"/>
          <w:szCs w:val="32"/>
          <w:u w:val="none"/>
        </w:rPr>
        <w:t>第四部分：名词解释</w:t>
      </w:r>
    </w:p>
    <w:p>
      <w:pPr>
        <w:spacing w:beforeLines="0" w:afterLines="0"/>
        <w:ind w:firstLine="646"/>
        <w:jc w:val="center"/>
        <w:rPr>
          <w:rFonts w:hint="eastAsia" w:ascii="仿宋_GB2312" w:eastAsia="仿宋_GB2312"/>
          <w:b/>
          <w:sz w:val="32"/>
          <w:szCs w:val="32"/>
          <w:u w:val="none"/>
        </w:rPr>
      </w:pPr>
      <w:r>
        <w:rPr>
          <w:rFonts w:hint="eastAsia" w:ascii="仿宋_GB2312" w:eastAsia="仿宋_GB2312" w:cs="仿宋_GB2312"/>
          <w:kern w:val="0"/>
          <w:sz w:val="32"/>
          <w:szCs w:val="32"/>
          <w:u w:val="none"/>
        </w:rPr>
        <w:br w:type="page"/>
      </w:r>
      <w:r>
        <w:rPr>
          <w:rFonts w:hint="eastAsia" w:ascii="仿宋_GB2312" w:eastAsia="仿宋_GB2312"/>
          <w:b/>
          <w:sz w:val="32"/>
          <w:szCs w:val="32"/>
          <w:u w:val="none"/>
        </w:rPr>
        <w:t>第一部分：</w:t>
      </w:r>
      <w:r>
        <w:rPr>
          <w:rFonts w:hint="eastAsia" w:ascii="仿宋_GB2312" w:hAnsi="黑体" w:eastAsia="仿宋_GB2312"/>
          <w:b/>
          <w:color w:val="000000"/>
          <w:sz w:val="32"/>
          <w:szCs w:val="32"/>
          <w:u w:val="none"/>
          <w:lang w:eastAsia="zh-CN"/>
        </w:rPr>
        <w:t>鹿寨县史志办公室</w:t>
      </w:r>
      <w:r>
        <w:rPr>
          <w:rFonts w:hint="eastAsia" w:ascii="仿宋_GB2312" w:eastAsia="仿宋_GB2312"/>
          <w:b/>
          <w:sz w:val="32"/>
          <w:szCs w:val="32"/>
          <w:u w:val="none"/>
        </w:rPr>
        <w:t>概况</w:t>
      </w:r>
    </w:p>
    <w:p>
      <w:pPr>
        <w:rPr>
          <w:rFonts w:ascii="仿宋_GB2312" w:eastAsia="仿宋_GB2312"/>
          <w:sz w:val="32"/>
          <w:szCs w:val="32"/>
        </w:rPr>
      </w:pPr>
      <w:r>
        <w:rPr>
          <w:rFonts w:hint="eastAsia" w:ascii="仿宋_GB2312" w:eastAsia="仿宋_GB2312"/>
          <w:sz w:val="32"/>
          <w:szCs w:val="32"/>
        </w:rPr>
        <w:t>一、主要职能</w:t>
      </w:r>
    </w:p>
    <w:p>
      <w:pPr>
        <w:ind w:firstLine="646"/>
        <w:rPr>
          <w:rFonts w:hint="eastAsia" w:ascii="仿宋_GB2312" w:eastAsia="仿宋_GB2312"/>
          <w:sz w:val="32"/>
          <w:szCs w:val="32"/>
          <w:lang w:val="en-US" w:eastAsia="zh-CN"/>
        </w:rPr>
      </w:pPr>
      <w:r>
        <w:rPr>
          <w:rFonts w:hint="eastAsia" w:ascii="仿宋_GB2312" w:eastAsia="仿宋_GB2312"/>
          <w:sz w:val="32"/>
          <w:szCs w:val="32"/>
        </w:rPr>
        <w:t>鹿寨县史志办公室为中共鹿寨县委直属管理的正科级参公事业单位，核定全额拨款事业编制5名（主任1名、副主任1名），主要承担鹿寨县地方党史资料征编和地方志书和年鉴编纂工作。</w:t>
      </w:r>
      <w:r>
        <w:rPr>
          <w:rFonts w:hint="eastAsia" w:ascii="仿宋_GB2312" w:eastAsia="仿宋_GB2312"/>
          <w:sz w:val="32"/>
          <w:szCs w:val="32"/>
          <w:lang w:val="en-US" w:eastAsia="zh-CN"/>
        </w:rPr>
        <w:t xml:space="preserve"> </w:t>
      </w:r>
    </w:p>
    <w:p>
      <w:pPr>
        <w:rPr>
          <w:rFonts w:ascii="仿宋_GB2312" w:eastAsia="仿宋_GB2312"/>
          <w:sz w:val="32"/>
          <w:szCs w:val="32"/>
        </w:rPr>
      </w:pPr>
      <w:r>
        <w:rPr>
          <w:rFonts w:hint="eastAsia" w:ascii="仿宋_GB2312" w:eastAsia="仿宋_GB2312"/>
          <w:sz w:val="32"/>
          <w:szCs w:val="32"/>
        </w:rPr>
        <w:t>二、部门决算单位构成</w:t>
      </w:r>
    </w:p>
    <w:p>
      <w:pPr>
        <w:widowControl/>
        <w:spacing w:line="520" w:lineRule="atLeast"/>
        <w:ind w:left="210" w:firstLine="560"/>
        <w:jc w:val="left"/>
        <w:rPr>
          <w:rFonts w:hint="eastAsia" w:ascii="仿宋" w:hAnsi="仿宋" w:eastAsia="仿宋" w:cs="仿宋"/>
          <w:color w:val="000000"/>
          <w:kern w:val="0"/>
          <w:sz w:val="24"/>
          <w:shd w:val="clear" w:color="auto" w:fill="FFFFFF"/>
          <w:lang w:bidi="ar"/>
        </w:rPr>
      </w:pPr>
      <w:r>
        <w:rPr>
          <w:rFonts w:hint="eastAsia" w:ascii="仿宋" w:hAnsi="仿宋" w:eastAsia="仿宋" w:cs="仿宋"/>
          <w:color w:val="000000"/>
          <w:kern w:val="0"/>
          <w:sz w:val="24"/>
          <w:shd w:val="clear" w:color="auto" w:fill="FFFFFF"/>
          <w:lang w:bidi="ar"/>
        </w:rPr>
        <w:t>本部门机构设置如下表：</w:t>
      </w:r>
    </w:p>
    <w:p>
      <w:pPr>
        <w:widowControl/>
        <w:spacing w:line="520" w:lineRule="atLeast"/>
        <w:ind w:left="210" w:firstLine="560"/>
        <w:jc w:val="left"/>
        <w:rPr>
          <w:rFonts w:hint="eastAsia" w:ascii="仿宋" w:hAnsi="仿宋" w:eastAsia="仿宋" w:cs="仿宋"/>
          <w:color w:val="000000"/>
          <w:kern w:val="0"/>
          <w:sz w:val="24"/>
          <w:shd w:val="clear" w:color="auto" w:fill="FFFFFF"/>
          <w:lang w:val="en-US" w:eastAsia="zh-CN" w:bidi="ar"/>
        </w:rPr>
      </w:pPr>
    </w:p>
    <w:tbl>
      <w:tblPr>
        <w:tblStyle w:val="3"/>
        <w:tblW w:w="89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261"/>
        <w:gridCol w:w="46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26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widowControl/>
              <w:spacing w:beforeAutospacing="1" w:afterAutospacing="1" w:line="360" w:lineRule="atLeast"/>
              <w:ind w:firstLine="560"/>
              <w:jc w:val="center"/>
              <w:rPr>
                <w:rFonts w:hint="eastAsia" w:ascii="仿宋" w:hAnsi="仿宋" w:eastAsia="仿宋" w:cs="仿宋"/>
                <w:sz w:val="24"/>
              </w:rPr>
            </w:pPr>
            <w:r>
              <w:rPr>
                <w:rFonts w:hint="eastAsia" w:ascii="仿宋" w:hAnsi="仿宋" w:eastAsia="仿宋" w:cs="仿宋"/>
                <w:color w:val="000000"/>
                <w:kern w:val="0"/>
                <w:sz w:val="24"/>
                <w:lang w:bidi="ar"/>
              </w:rPr>
              <w:t>单位名称</w:t>
            </w:r>
          </w:p>
        </w:tc>
        <w:tc>
          <w:tcPr>
            <w:tcW w:w="4654" w:type="dxa"/>
            <w:tcBorders>
              <w:top w:val="single" w:color="auto" w:sz="8" w:space="0"/>
              <w:left w:val="nil"/>
              <w:bottom w:val="single" w:color="auto" w:sz="8" w:space="0"/>
              <w:right w:val="single" w:color="auto" w:sz="8" w:space="0"/>
            </w:tcBorders>
            <w:noWrap w:val="0"/>
            <w:tcMar>
              <w:left w:w="108" w:type="dxa"/>
              <w:right w:w="108" w:type="dxa"/>
            </w:tcMar>
            <w:vAlign w:val="top"/>
          </w:tcPr>
          <w:p>
            <w:pPr>
              <w:widowControl/>
              <w:spacing w:beforeAutospacing="1" w:afterAutospacing="1" w:line="360" w:lineRule="atLeast"/>
              <w:ind w:firstLine="560"/>
              <w:jc w:val="center"/>
              <w:rPr>
                <w:rFonts w:hint="eastAsia" w:ascii="仿宋" w:hAnsi="仿宋" w:eastAsia="仿宋" w:cs="仿宋"/>
                <w:sz w:val="24"/>
              </w:rPr>
            </w:pPr>
            <w:r>
              <w:rPr>
                <w:rFonts w:hint="eastAsia" w:ascii="仿宋" w:hAnsi="仿宋" w:eastAsia="仿宋" w:cs="仿宋"/>
                <w:color w:val="000000"/>
                <w:kern w:val="0"/>
                <w:sz w:val="24"/>
                <w:lang w:bidi="ar"/>
              </w:rPr>
              <w:t>单位性质（行政、参公、全额拨款事业单位、差额拨款事业单位、自收自支事业单位）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26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beforeAutospacing="1" w:afterAutospacing="1" w:line="520" w:lineRule="atLeast"/>
              <w:ind w:firstLine="560"/>
              <w:jc w:val="center"/>
              <w:rPr>
                <w:rFonts w:hint="default" w:ascii="仿宋" w:hAnsi="仿宋" w:eastAsia="仿宋" w:cs="仿宋"/>
                <w:sz w:val="24"/>
                <w:lang w:val="en-US" w:eastAsia="zh-CN"/>
              </w:rPr>
            </w:pPr>
            <w:r>
              <w:rPr>
                <w:rFonts w:hint="eastAsia" w:ascii="仿宋" w:hAnsi="仿宋" w:eastAsia="仿宋" w:cs="仿宋"/>
                <w:color w:val="000000"/>
                <w:kern w:val="0"/>
                <w:sz w:val="24"/>
                <w:lang w:val="en-US" w:eastAsia="zh-CN" w:bidi="ar"/>
              </w:rPr>
              <w:t>鹿寨县史志办公室</w:t>
            </w:r>
          </w:p>
        </w:tc>
        <w:tc>
          <w:tcPr>
            <w:tcW w:w="4654" w:type="dxa"/>
            <w:tcBorders>
              <w:top w:val="nil"/>
              <w:left w:val="nil"/>
              <w:bottom w:val="single" w:color="auto" w:sz="8" w:space="0"/>
              <w:right w:val="single" w:color="auto" w:sz="8" w:space="0"/>
            </w:tcBorders>
            <w:noWrap w:val="0"/>
            <w:tcMar>
              <w:left w:w="108" w:type="dxa"/>
              <w:right w:w="108" w:type="dxa"/>
            </w:tcMar>
            <w:vAlign w:val="top"/>
          </w:tcPr>
          <w:p>
            <w:pPr>
              <w:widowControl/>
              <w:spacing w:beforeAutospacing="1" w:afterAutospacing="1" w:line="520" w:lineRule="atLeast"/>
              <w:ind w:firstLine="560"/>
              <w:jc w:val="center"/>
              <w:rPr>
                <w:rFonts w:hint="eastAsia" w:ascii="仿宋" w:hAnsi="仿宋" w:eastAsia="仿宋" w:cs="仿宋"/>
                <w:sz w:val="24"/>
              </w:rPr>
            </w:pPr>
            <w:r>
              <w:rPr>
                <w:rFonts w:hint="eastAsia" w:ascii="仿宋" w:hAnsi="仿宋" w:eastAsia="仿宋" w:cs="仿宋"/>
                <w:color w:val="000000"/>
                <w:kern w:val="0"/>
                <w:sz w:val="24"/>
                <w:lang w:bidi="ar"/>
              </w:rPr>
              <w:t>参公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4261" w:type="dxa"/>
            <w:tcBorders>
              <w:top w:val="nil"/>
              <w:left w:val="single" w:color="auto" w:sz="8" w:space="0"/>
              <w:bottom w:val="single" w:color="auto" w:sz="8" w:space="0"/>
              <w:right w:val="single" w:color="auto" w:sz="8" w:space="0"/>
            </w:tcBorders>
            <w:noWrap w:val="0"/>
            <w:tcMar>
              <w:left w:w="108" w:type="dxa"/>
              <w:right w:w="108" w:type="dxa"/>
            </w:tcMar>
            <w:vAlign w:val="top"/>
          </w:tcPr>
          <w:p>
            <w:pPr>
              <w:widowControl/>
              <w:spacing w:beforeAutospacing="1" w:afterAutospacing="1" w:line="520" w:lineRule="atLeast"/>
              <w:ind w:firstLine="56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4654" w:type="dxa"/>
            <w:tcBorders>
              <w:top w:val="nil"/>
              <w:left w:val="nil"/>
              <w:bottom w:val="single" w:color="auto" w:sz="8" w:space="0"/>
              <w:right w:val="single" w:color="auto" w:sz="8" w:space="0"/>
            </w:tcBorders>
            <w:noWrap w:val="0"/>
            <w:tcMar>
              <w:left w:w="108" w:type="dxa"/>
              <w:right w:w="108" w:type="dxa"/>
            </w:tcMar>
            <w:vAlign w:val="top"/>
          </w:tcPr>
          <w:p>
            <w:pPr>
              <w:widowControl/>
              <w:spacing w:beforeAutospacing="1" w:afterAutospacing="1" w:line="520" w:lineRule="atLeast"/>
              <w:ind w:firstLine="56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bl>
    <w:p>
      <w:pPr>
        <w:widowControl/>
        <w:spacing w:line="520" w:lineRule="atLeast"/>
        <w:ind w:left="210" w:firstLine="560"/>
        <w:jc w:val="left"/>
        <w:rPr>
          <w:rFonts w:hint="eastAsia" w:ascii="仿宋" w:hAnsi="仿宋" w:eastAsia="仿宋" w:cs="仿宋"/>
          <w:color w:val="000000"/>
          <w:kern w:val="0"/>
          <w:sz w:val="24"/>
          <w:shd w:val="clear" w:color="auto" w:fill="FFFFFF"/>
          <w:lang w:val="en-US" w:eastAsia="zh-CN" w:bidi="ar"/>
        </w:rPr>
      </w:pPr>
      <w:r>
        <w:rPr>
          <w:rFonts w:hint="eastAsia" w:ascii="仿宋" w:hAnsi="仿宋" w:eastAsia="仿宋" w:cs="仿宋"/>
          <w:color w:val="000000"/>
          <w:kern w:val="0"/>
          <w:sz w:val="24"/>
          <w:shd w:val="clear" w:color="auto" w:fill="FFFFFF"/>
          <w:lang w:bidi="ar"/>
        </w:rPr>
        <w:t>本年度机构和人员如下表：</w:t>
      </w:r>
    </w:p>
    <w:p>
      <w:pPr>
        <w:widowControl/>
        <w:spacing w:line="520" w:lineRule="atLeast"/>
        <w:ind w:left="210" w:firstLine="560"/>
        <w:jc w:val="right"/>
        <w:rPr>
          <w:rFonts w:hint="eastAsia" w:ascii="仿宋" w:hAnsi="仿宋" w:eastAsia="仿宋" w:cs="仿宋"/>
          <w:sz w:val="24"/>
        </w:rPr>
      </w:pPr>
      <w:r>
        <w:rPr>
          <w:rFonts w:hint="eastAsia" w:ascii="仿宋" w:hAnsi="仿宋" w:eastAsia="仿宋" w:cs="仿宋"/>
          <w:color w:val="000000"/>
          <w:kern w:val="0"/>
          <w:sz w:val="24"/>
          <w:shd w:val="clear" w:color="auto" w:fill="FFFFFF"/>
          <w:lang w:val="en-US" w:eastAsia="zh-CN" w:bidi="ar"/>
        </w:rPr>
        <w:t xml:space="preserve"> </w:t>
      </w:r>
      <w:r>
        <w:rPr>
          <w:rFonts w:hint="eastAsia" w:ascii="仿宋" w:hAnsi="仿宋" w:eastAsia="仿宋" w:cs="仿宋"/>
          <w:color w:val="000000"/>
          <w:kern w:val="0"/>
          <w:sz w:val="24"/>
          <w:shd w:val="clear" w:color="auto" w:fill="FFFFFF"/>
          <w:lang w:bidi="ar"/>
        </w:rPr>
        <w:t>单位：人</w:t>
      </w:r>
    </w:p>
    <w:tbl>
      <w:tblPr>
        <w:tblStyle w:val="3"/>
        <w:tblW w:w="9460" w:type="dxa"/>
        <w:jc w:val="center"/>
        <w:tblInd w:w="0" w:type="dxa"/>
        <w:tblLayout w:type="fixed"/>
        <w:tblCellMar>
          <w:top w:w="0" w:type="dxa"/>
          <w:left w:w="0" w:type="dxa"/>
          <w:bottom w:w="0" w:type="dxa"/>
          <w:right w:w="0" w:type="dxa"/>
        </w:tblCellMar>
      </w:tblPr>
      <w:tblGrid>
        <w:gridCol w:w="2913"/>
        <w:gridCol w:w="900"/>
        <w:gridCol w:w="1132"/>
        <w:gridCol w:w="1039"/>
        <w:gridCol w:w="1079"/>
        <w:gridCol w:w="1159"/>
        <w:gridCol w:w="1238"/>
      </w:tblGrid>
      <w:tr>
        <w:tblPrEx>
          <w:tblLayout w:type="fixed"/>
          <w:tblCellMar>
            <w:top w:w="0" w:type="dxa"/>
            <w:left w:w="0" w:type="dxa"/>
            <w:bottom w:w="0" w:type="dxa"/>
            <w:right w:w="0" w:type="dxa"/>
          </w:tblCellMar>
        </w:tblPrEx>
        <w:trPr>
          <w:cantSplit/>
          <w:trHeight w:val="533" w:hRule="atLeast"/>
          <w:jc w:val="center"/>
        </w:trPr>
        <w:tc>
          <w:tcPr>
            <w:tcW w:w="2913" w:type="dxa"/>
            <w:vMerge w:val="restart"/>
            <w:tcBorders>
              <w:top w:val="single" w:color="auto" w:sz="8" w:space="0"/>
              <w:left w:val="single" w:color="auto" w:sz="8" w:space="0"/>
              <w:bottom w:val="nil"/>
              <w:right w:val="single" w:color="auto" w:sz="8" w:space="0"/>
            </w:tcBorders>
            <w:noWrap w:val="0"/>
            <w:tcMar>
              <w:top w:w="20" w:type="dxa"/>
              <w:left w:w="20" w:type="dxa"/>
              <w:right w:w="20" w:type="dxa"/>
            </w:tcMar>
            <w:vAlign w:val="top"/>
          </w:tcPr>
          <w:p>
            <w:pPr>
              <w:widowControl/>
              <w:spacing w:beforeAutospacing="1" w:afterAutospacing="1" w:line="320" w:lineRule="atLeast"/>
              <w:jc w:val="center"/>
              <w:rPr>
                <w:rFonts w:hint="eastAsia" w:ascii="仿宋" w:hAnsi="仿宋" w:eastAsia="仿宋" w:cs="仿宋"/>
                <w:sz w:val="24"/>
              </w:rPr>
            </w:pPr>
            <w:r>
              <w:rPr>
                <w:rFonts w:hint="eastAsia" w:ascii="仿宋" w:hAnsi="仿宋" w:eastAsia="仿宋" w:cs="仿宋"/>
                <w:color w:val="000000"/>
                <w:kern w:val="0"/>
                <w:sz w:val="24"/>
                <w:lang w:bidi="ar"/>
              </w:rPr>
              <w:t>项    目</w:t>
            </w:r>
          </w:p>
        </w:tc>
        <w:tc>
          <w:tcPr>
            <w:tcW w:w="900" w:type="dxa"/>
            <w:vMerge w:val="restart"/>
            <w:tcBorders>
              <w:top w:val="single" w:color="auto" w:sz="8" w:space="0"/>
              <w:left w:val="nil"/>
              <w:bottom w:val="nil"/>
              <w:right w:val="single" w:color="auto" w:sz="8" w:space="0"/>
            </w:tcBorders>
            <w:noWrap w:val="0"/>
            <w:tcMar>
              <w:top w:w="20" w:type="dxa"/>
              <w:left w:w="20" w:type="dxa"/>
              <w:right w:w="20" w:type="dxa"/>
            </w:tcMar>
            <w:vAlign w:val="top"/>
          </w:tcPr>
          <w:p>
            <w:pPr>
              <w:widowControl/>
              <w:spacing w:beforeAutospacing="1" w:afterAutospacing="1" w:line="320" w:lineRule="atLeast"/>
              <w:jc w:val="center"/>
              <w:rPr>
                <w:rFonts w:hint="eastAsia" w:ascii="仿宋" w:hAnsi="仿宋" w:eastAsia="仿宋" w:cs="仿宋"/>
                <w:sz w:val="24"/>
              </w:rPr>
            </w:pPr>
            <w:r>
              <w:rPr>
                <w:rFonts w:hint="eastAsia" w:ascii="仿宋" w:hAnsi="仿宋" w:eastAsia="仿宋" w:cs="仿宋"/>
                <w:color w:val="000000"/>
                <w:kern w:val="0"/>
                <w:sz w:val="24"/>
                <w:lang w:bidi="ar"/>
              </w:rPr>
              <w:t>合 计</w:t>
            </w:r>
          </w:p>
        </w:tc>
        <w:tc>
          <w:tcPr>
            <w:tcW w:w="1132" w:type="dxa"/>
            <w:vMerge w:val="restart"/>
            <w:tcBorders>
              <w:top w:val="single" w:color="auto" w:sz="8" w:space="0"/>
              <w:left w:val="nil"/>
              <w:bottom w:val="nil"/>
              <w:right w:val="single" w:color="auto" w:sz="8" w:space="0"/>
            </w:tcBorders>
            <w:noWrap w:val="0"/>
            <w:tcMar>
              <w:top w:w="20" w:type="dxa"/>
              <w:left w:w="20" w:type="dxa"/>
              <w:right w:w="20" w:type="dxa"/>
            </w:tcMar>
            <w:vAlign w:val="top"/>
          </w:tcPr>
          <w:p>
            <w:pPr>
              <w:widowControl/>
              <w:spacing w:beforeAutospacing="1" w:afterAutospacing="1" w:line="320" w:lineRule="atLeast"/>
              <w:jc w:val="center"/>
              <w:rPr>
                <w:rFonts w:hint="eastAsia" w:ascii="仿宋" w:hAnsi="仿宋" w:eastAsia="仿宋" w:cs="仿宋"/>
                <w:sz w:val="24"/>
              </w:rPr>
            </w:pPr>
            <w:r>
              <w:rPr>
                <w:rFonts w:hint="eastAsia" w:ascii="仿宋" w:hAnsi="仿宋" w:eastAsia="仿宋" w:cs="仿宋"/>
                <w:color w:val="000000"/>
                <w:kern w:val="0"/>
                <w:sz w:val="24"/>
                <w:lang w:bidi="ar"/>
              </w:rPr>
              <w:t>行政单位</w:t>
            </w:r>
          </w:p>
        </w:tc>
        <w:tc>
          <w:tcPr>
            <w:tcW w:w="2118" w:type="dxa"/>
            <w:gridSpan w:val="2"/>
            <w:tcBorders>
              <w:top w:val="single" w:color="auto" w:sz="8" w:space="0"/>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320" w:lineRule="atLeast"/>
              <w:jc w:val="center"/>
              <w:rPr>
                <w:rFonts w:hint="eastAsia" w:ascii="仿宋" w:hAnsi="仿宋" w:eastAsia="仿宋" w:cs="仿宋"/>
                <w:sz w:val="24"/>
              </w:rPr>
            </w:pPr>
            <w:r>
              <w:rPr>
                <w:rFonts w:hint="eastAsia" w:ascii="仿宋" w:hAnsi="仿宋" w:eastAsia="仿宋" w:cs="仿宋"/>
                <w:color w:val="000000"/>
                <w:kern w:val="0"/>
                <w:sz w:val="24"/>
                <w:lang w:bidi="ar"/>
              </w:rPr>
              <w:t>财政拨款事业单位</w:t>
            </w:r>
          </w:p>
        </w:tc>
        <w:tc>
          <w:tcPr>
            <w:tcW w:w="1159" w:type="dxa"/>
            <w:vMerge w:val="restart"/>
            <w:tcBorders>
              <w:top w:val="single" w:color="auto" w:sz="8" w:space="0"/>
              <w:left w:val="nil"/>
              <w:bottom w:val="nil"/>
              <w:right w:val="single" w:color="auto" w:sz="8" w:space="0"/>
            </w:tcBorders>
            <w:noWrap w:val="0"/>
            <w:tcMar>
              <w:top w:w="20" w:type="dxa"/>
              <w:left w:w="20" w:type="dxa"/>
              <w:right w:w="20" w:type="dxa"/>
            </w:tcMar>
            <w:vAlign w:val="top"/>
          </w:tcPr>
          <w:p>
            <w:pPr>
              <w:widowControl/>
              <w:spacing w:beforeAutospacing="1" w:afterAutospacing="1" w:line="320" w:lineRule="atLeast"/>
              <w:jc w:val="center"/>
              <w:rPr>
                <w:rFonts w:hint="eastAsia" w:ascii="仿宋" w:hAnsi="仿宋" w:eastAsia="仿宋" w:cs="仿宋"/>
                <w:sz w:val="24"/>
              </w:rPr>
            </w:pPr>
            <w:r>
              <w:rPr>
                <w:rFonts w:hint="eastAsia" w:ascii="仿宋" w:hAnsi="仿宋" w:eastAsia="仿宋" w:cs="仿宋"/>
                <w:color w:val="000000"/>
                <w:kern w:val="0"/>
                <w:sz w:val="24"/>
                <w:lang w:bidi="ar"/>
              </w:rPr>
              <w:t>财政补助事业单位</w:t>
            </w:r>
          </w:p>
          <w:p>
            <w:pPr>
              <w:widowControl/>
              <w:spacing w:beforeAutospacing="1" w:afterAutospacing="1" w:line="320" w:lineRule="atLeast"/>
              <w:ind w:firstLine="480"/>
              <w:jc w:val="center"/>
              <w:rPr>
                <w:rFonts w:hint="eastAsia" w:ascii="仿宋" w:hAnsi="仿宋" w:eastAsia="仿宋" w:cs="仿宋"/>
                <w:sz w:val="24"/>
              </w:rPr>
            </w:pPr>
          </w:p>
        </w:tc>
        <w:tc>
          <w:tcPr>
            <w:tcW w:w="1238" w:type="dxa"/>
            <w:vMerge w:val="restart"/>
            <w:tcBorders>
              <w:top w:val="single" w:color="auto" w:sz="8" w:space="0"/>
              <w:left w:val="nil"/>
              <w:bottom w:val="nil"/>
              <w:right w:val="single" w:color="auto" w:sz="8" w:space="0"/>
            </w:tcBorders>
            <w:noWrap w:val="0"/>
            <w:tcMar>
              <w:top w:w="20" w:type="dxa"/>
              <w:left w:w="20" w:type="dxa"/>
              <w:right w:w="20" w:type="dxa"/>
            </w:tcMar>
            <w:vAlign w:val="top"/>
          </w:tcPr>
          <w:p>
            <w:pPr>
              <w:widowControl/>
              <w:spacing w:beforeAutospacing="1" w:afterAutospacing="1" w:line="320" w:lineRule="atLeast"/>
              <w:jc w:val="center"/>
              <w:rPr>
                <w:rFonts w:hint="eastAsia" w:ascii="仿宋" w:hAnsi="仿宋" w:eastAsia="仿宋" w:cs="仿宋"/>
                <w:sz w:val="24"/>
              </w:rPr>
            </w:pPr>
            <w:r>
              <w:rPr>
                <w:rFonts w:hint="eastAsia" w:ascii="仿宋" w:hAnsi="仿宋" w:eastAsia="仿宋" w:cs="仿宋"/>
                <w:color w:val="000000"/>
                <w:kern w:val="0"/>
                <w:sz w:val="24"/>
                <w:lang w:bidi="ar"/>
              </w:rPr>
              <w:t>自收自支事业单位</w:t>
            </w:r>
          </w:p>
        </w:tc>
      </w:tr>
      <w:tr>
        <w:tblPrEx>
          <w:tblLayout w:type="fixed"/>
          <w:tblCellMar>
            <w:top w:w="0" w:type="dxa"/>
            <w:left w:w="0" w:type="dxa"/>
            <w:bottom w:w="0" w:type="dxa"/>
            <w:right w:w="0" w:type="dxa"/>
          </w:tblCellMar>
        </w:tblPrEx>
        <w:trPr>
          <w:cantSplit/>
          <w:trHeight w:val="615" w:hRule="atLeast"/>
          <w:jc w:val="center"/>
        </w:trPr>
        <w:tc>
          <w:tcPr>
            <w:tcW w:w="2913" w:type="dxa"/>
            <w:vMerge w:val="continue"/>
            <w:tcBorders>
              <w:top w:val="single" w:color="auto" w:sz="8" w:space="0"/>
              <w:left w:val="single" w:color="auto" w:sz="8" w:space="0"/>
              <w:bottom w:val="nil"/>
              <w:right w:val="single" w:color="auto" w:sz="8" w:space="0"/>
            </w:tcBorders>
            <w:noWrap w:val="0"/>
            <w:tcMar>
              <w:top w:w="20" w:type="dxa"/>
              <w:left w:w="20" w:type="dxa"/>
              <w:right w:w="20" w:type="dxa"/>
            </w:tcMar>
            <w:vAlign w:val="bottom"/>
          </w:tcPr>
          <w:p>
            <w:pPr>
              <w:jc w:val="center"/>
              <w:rPr>
                <w:rFonts w:hint="eastAsia" w:ascii="仿宋" w:hAnsi="仿宋" w:eastAsia="仿宋" w:cs="仿宋"/>
                <w:color w:val="000000"/>
                <w:sz w:val="24"/>
              </w:rPr>
            </w:pPr>
          </w:p>
        </w:tc>
        <w:tc>
          <w:tcPr>
            <w:tcW w:w="900" w:type="dxa"/>
            <w:vMerge w:val="continue"/>
            <w:tcBorders>
              <w:top w:val="single" w:color="auto" w:sz="8" w:space="0"/>
              <w:left w:val="nil"/>
              <w:bottom w:val="nil"/>
              <w:right w:val="single" w:color="auto" w:sz="8" w:space="0"/>
            </w:tcBorders>
            <w:noWrap w:val="0"/>
            <w:tcMar>
              <w:top w:w="20" w:type="dxa"/>
              <w:left w:w="20" w:type="dxa"/>
              <w:right w:w="20" w:type="dxa"/>
            </w:tcMar>
            <w:vAlign w:val="center"/>
          </w:tcPr>
          <w:p>
            <w:pPr>
              <w:jc w:val="center"/>
              <w:rPr>
                <w:rFonts w:hint="eastAsia" w:ascii="仿宋" w:hAnsi="仿宋" w:eastAsia="仿宋" w:cs="仿宋"/>
                <w:color w:val="000000"/>
                <w:sz w:val="24"/>
              </w:rPr>
            </w:pPr>
          </w:p>
        </w:tc>
        <w:tc>
          <w:tcPr>
            <w:tcW w:w="1132" w:type="dxa"/>
            <w:vMerge w:val="continue"/>
            <w:tcBorders>
              <w:top w:val="single" w:color="auto" w:sz="8" w:space="0"/>
              <w:left w:val="nil"/>
              <w:bottom w:val="nil"/>
              <w:right w:val="single" w:color="auto" w:sz="8" w:space="0"/>
            </w:tcBorders>
            <w:noWrap w:val="0"/>
            <w:tcMar>
              <w:top w:w="20" w:type="dxa"/>
              <w:left w:w="20" w:type="dxa"/>
              <w:right w:w="20" w:type="dxa"/>
            </w:tcMar>
            <w:vAlign w:val="center"/>
          </w:tcPr>
          <w:p>
            <w:pPr>
              <w:jc w:val="center"/>
              <w:rPr>
                <w:rFonts w:hint="eastAsia" w:ascii="仿宋" w:hAnsi="仿宋" w:eastAsia="仿宋" w:cs="仿宋"/>
                <w:color w:val="000000"/>
                <w:sz w:val="24"/>
              </w:rPr>
            </w:pPr>
          </w:p>
        </w:tc>
        <w:tc>
          <w:tcPr>
            <w:tcW w:w="1039" w:type="dxa"/>
            <w:tcBorders>
              <w:top w:val="nil"/>
              <w:left w:val="nil"/>
              <w:bottom w:val="nil"/>
              <w:right w:val="single" w:color="auto" w:sz="8" w:space="0"/>
            </w:tcBorders>
            <w:noWrap w:val="0"/>
            <w:tcMar>
              <w:top w:w="20" w:type="dxa"/>
              <w:left w:w="20" w:type="dxa"/>
              <w:right w:w="20" w:type="dxa"/>
            </w:tcMar>
            <w:vAlign w:val="top"/>
          </w:tcPr>
          <w:p>
            <w:pPr>
              <w:widowControl/>
              <w:spacing w:beforeAutospacing="1" w:afterAutospacing="1" w:line="520" w:lineRule="atLeast"/>
              <w:jc w:val="left"/>
              <w:rPr>
                <w:rFonts w:hint="eastAsia" w:ascii="仿宋" w:hAnsi="仿宋" w:eastAsia="仿宋" w:cs="仿宋"/>
                <w:sz w:val="24"/>
              </w:rPr>
            </w:pPr>
            <w:r>
              <w:rPr>
                <w:rFonts w:hint="eastAsia" w:ascii="仿宋" w:hAnsi="仿宋" w:eastAsia="仿宋" w:cs="仿宋"/>
                <w:color w:val="000000"/>
                <w:kern w:val="0"/>
                <w:sz w:val="24"/>
                <w:lang w:bidi="ar"/>
              </w:rPr>
              <w:t>参（依）公管理</w:t>
            </w:r>
          </w:p>
        </w:tc>
        <w:tc>
          <w:tcPr>
            <w:tcW w:w="1079" w:type="dxa"/>
            <w:tcBorders>
              <w:top w:val="single" w:color="auto" w:sz="8" w:space="0"/>
              <w:left w:val="nil"/>
              <w:bottom w:val="nil"/>
              <w:right w:val="single" w:color="auto" w:sz="8" w:space="0"/>
            </w:tcBorders>
            <w:noWrap w:val="0"/>
            <w:tcMar>
              <w:top w:w="20" w:type="dxa"/>
              <w:left w:w="20" w:type="dxa"/>
              <w:right w:w="20" w:type="dxa"/>
            </w:tcMar>
            <w:vAlign w:val="top"/>
          </w:tcPr>
          <w:p>
            <w:pPr>
              <w:widowControl/>
              <w:spacing w:beforeAutospacing="1" w:afterAutospacing="1" w:line="520" w:lineRule="atLeast"/>
              <w:jc w:val="left"/>
              <w:rPr>
                <w:rFonts w:hint="eastAsia" w:ascii="仿宋" w:hAnsi="仿宋" w:eastAsia="仿宋" w:cs="仿宋"/>
                <w:sz w:val="24"/>
              </w:rPr>
            </w:pPr>
            <w:r>
              <w:rPr>
                <w:rFonts w:hint="eastAsia" w:ascii="仿宋" w:hAnsi="仿宋" w:eastAsia="仿宋" w:cs="仿宋"/>
                <w:color w:val="000000"/>
                <w:kern w:val="0"/>
                <w:sz w:val="24"/>
                <w:lang w:bidi="ar"/>
              </w:rPr>
              <w:t>其他</w:t>
            </w:r>
          </w:p>
        </w:tc>
        <w:tc>
          <w:tcPr>
            <w:tcW w:w="1159" w:type="dxa"/>
            <w:vMerge w:val="continue"/>
            <w:tcBorders>
              <w:top w:val="single" w:color="auto" w:sz="8" w:space="0"/>
              <w:left w:val="nil"/>
              <w:bottom w:val="nil"/>
              <w:right w:val="single" w:color="auto" w:sz="8" w:space="0"/>
            </w:tcBorders>
            <w:noWrap w:val="0"/>
            <w:tcMar>
              <w:top w:w="20" w:type="dxa"/>
              <w:left w:w="20" w:type="dxa"/>
              <w:right w:w="20" w:type="dxa"/>
            </w:tcMar>
            <w:vAlign w:val="center"/>
          </w:tcPr>
          <w:p>
            <w:pPr>
              <w:jc w:val="center"/>
              <w:rPr>
                <w:rFonts w:hint="eastAsia" w:ascii="仿宋" w:hAnsi="仿宋" w:eastAsia="仿宋" w:cs="仿宋"/>
                <w:color w:val="000000"/>
                <w:sz w:val="24"/>
              </w:rPr>
            </w:pPr>
          </w:p>
        </w:tc>
        <w:tc>
          <w:tcPr>
            <w:tcW w:w="1238" w:type="dxa"/>
            <w:vMerge w:val="continue"/>
            <w:tcBorders>
              <w:top w:val="single" w:color="auto" w:sz="8" w:space="0"/>
              <w:left w:val="nil"/>
              <w:bottom w:val="nil"/>
              <w:right w:val="single" w:color="auto" w:sz="8" w:space="0"/>
            </w:tcBorders>
            <w:noWrap w:val="0"/>
            <w:tcMar>
              <w:top w:w="20" w:type="dxa"/>
              <w:left w:w="20" w:type="dxa"/>
              <w:right w:w="20" w:type="dxa"/>
            </w:tcMar>
            <w:vAlign w:val="center"/>
          </w:tcPr>
          <w:p>
            <w:pPr>
              <w:jc w:val="center"/>
              <w:rPr>
                <w:rFonts w:hint="eastAsia" w:ascii="仿宋" w:hAnsi="仿宋" w:eastAsia="仿宋" w:cs="仿宋"/>
                <w:color w:val="000000"/>
                <w:sz w:val="24"/>
              </w:rPr>
            </w:pPr>
          </w:p>
        </w:tc>
      </w:tr>
      <w:tr>
        <w:tblPrEx>
          <w:tblLayout w:type="fixed"/>
          <w:tblCellMar>
            <w:top w:w="0" w:type="dxa"/>
            <w:left w:w="0" w:type="dxa"/>
            <w:bottom w:w="0" w:type="dxa"/>
            <w:right w:w="0" w:type="dxa"/>
          </w:tblCellMar>
        </w:tblPrEx>
        <w:trPr>
          <w:trHeight w:val="517" w:hRule="atLeast"/>
          <w:jc w:val="center"/>
        </w:trPr>
        <w:tc>
          <w:tcPr>
            <w:tcW w:w="2913" w:type="dxa"/>
            <w:tcBorders>
              <w:top w:val="single" w:color="auto" w:sz="8" w:space="0"/>
              <w:left w:val="single" w:color="auto" w:sz="8" w:space="0"/>
              <w:bottom w:val="single" w:color="auto" w:sz="8" w:space="0"/>
              <w:right w:val="single" w:color="auto" w:sz="8" w:space="0"/>
            </w:tcBorders>
            <w:noWrap w:val="0"/>
            <w:tcMar>
              <w:top w:w="20" w:type="dxa"/>
              <w:left w:w="20" w:type="dxa"/>
              <w:right w:w="20" w:type="dxa"/>
            </w:tcMar>
            <w:vAlign w:val="bottom"/>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编制数</w:t>
            </w:r>
          </w:p>
        </w:tc>
        <w:tc>
          <w:tcPr>
            <w:tcW w:w="900" w:type="dxa"/>
            <w:tcBorders>
              <w:top w:val="single" w:color="auto" w:sz="8" w:space="0"/>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r>
              <w:rPr>
                <w:rFonts w:hint="eastAsia" w:ascii="仿宋" w:hAnsi="仿宋" w:eastAsia="仿宋" w:cs="仿宋"/>
                <w:color w:val="000000"/>
                <w:kern w:val="0"/>
                <w:sz w:val="24"/>
                <w:lang w:bidi="ar"/>
              </w:rPr>
              <w:t>5</w:t>
            </w:r>
          </w:p>
        </w:tc>
        <w:tc>
          <w:tcPr>
            <w:tcW w:w="1132" w:type="dxa"/>
            <w:tcBorders>
              <w:top w:val="single" w:color="auto" w:sz="8" w:space="0"/>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39" w:type="dxa"/>
            <w:tcBorders>
              <w:top w:val="single" w:color="auto" w:sz="8" w:space="0"/>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r>
              <w:rPr>
                <w:rFonts w:hint="eastAsia" w:ascii="仿宋" w:hAnsi="仿宋" w:eastAsia="仿宋" w:cs="仿宋"/>
                <w:color w:val="000000"/>
                <w:kern w:val="0"/>
                <w:sz w:val="24"/>
                <w:lang w:bidi="ar"/>
              </w:rPr>
              <w:t>5</w:t>
            </w:r>
          </w:p>
        </w:tc>
        <w:tc>
          <w:tcPr>
            <w:tcW w:w="1079" w:type="dxa"/>
            <w:tcBorders>
              <w:top w:val="single" w:color="auto" w:sz="8" w:space="0"/>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59" w:type="dxa"/>
            <w:tcBorders>
              <w:top w:val="single" w:color="auto" w:sz="8" w:space="0"/>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1238" w:type="dxa"/>
            <w:tcBorders>
              <w:top w:val="single" w:color="auto" w:sz="8" w:space="0"/>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r>
        <w:tblPrEx>
          <w:tblLayout w:type="fixed"/>
          <w:tblCellMar>
            <w:top w:w="0" w:type="dxa"/>
            <w:left w:w="0" w:type="dxa"/>
            <w:bottom w:w="0" w:type="dxa"/>
            <w:right w:w="0" w:type="dxa"/>
          </w:tblCellMar>
        </w:tblPrEx>
        <w:trPr>
          <w:trHeight w:val="517" w:hRule="atLeast"/>
          <w:jc w:val="center"/>
        </w:trPr>
        <w:tc>
          <w:tcPr>
            <w:tcW w:w="2913" w:type="dxa"/>
            <w:tcBorders>
              <w:top w:val="nil"/>
              <w:left w:val="single" w:color="auto" w:sz="8" w:space="0"/>
              <w:bottom w:val="single" w:color="auto" w:sz="8" w:space="0"/>
              <w:right w:val="single" w:color="auto" w:sz="8" w:space="0"/>
            </w:tcBorders>
            <w:noWrap w:val="0"/>
            <w:tcMar>
              <w:top w:w="20" w:type="dxa"/>
              <w:left w:w="20" w:type="dxa"/>
              <w:right w:w="20" w:type="dxa"/>
            </w:tcMar>
            <w:vAlign w:val="bottom"/>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实有人数</w:t>
            </w:r>
          </w:p>
        </w:tc>
        <w:tc>
          <w:tcPr>
            <w:tcW w:w="900"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132"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3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07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5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1238"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r>
        <w:tblPrEx>
          <w:tblLayout w:type="fixed"/>
          <w:tblCellMar>
            <w:top w:w="0" w:type="dxa"/>
            <w:left w:w="0" w:type="dxa"/>
            <w:bottom w:w="0" w:type="dxa"/>
            <w:right w:w="0" w:type="dxa"/>
          </w:tblCellMar>
        </w:tblPrEx>
        <w:trPr>
          <w:trHeight w:val="517" w:hRule="atLeast"/>
          <w:jc w:val="center"/>
        </w:trPr>
        <w:tc>
          <w:tcPr>
            <w:tcW w:w="2913" w:type="dxa"/>
            <w:tcBorders>
              <w:top w:val="nil"/>
              <w:left w:val="single" w:color="auto" w:sz="8" w:space="0"/>
              <w:bottom w:val="single" w:color="auto" w:sz="8" w:space="0"/>
              <w:right w:val="single" w:color="auto" w:sz="8" w:space="0"/>
            </w:tcBorders>
            <w:noWrap w:val="0"/>
            <w:tcMar>
              <w:top w:w="20" w:type="dxa"/>
              <w:left w:w="20" w:type="dxa"/>
              <w:right w:w="20" w:type="dxa"/>
            </w:tcMar>
            <w:vAlign w:val="bottom"/>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在职人数</w:t>
            </w:r>
          </w:p>
        </w:tc>
        <w:tc>
          <w:tcPr>
            <w:tcW w:w="900"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132"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3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107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5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1238"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r>
        <w:tblPrEx>
          <w:tblLayout w:type="fixed"/>
          <w:tblCellMar>
            <w:top w:w="0" w:type="dxa"/>
            <w:left w:w="0" w:type="dxa"/>
            <w:bottom w:w="0" w:type="dxa"/>
            <w:right w:w="0" w:type="dxa"/>
          </w:tblCellMar>
        </w:tblPrEx>
        <w:trPr>
          <w:trHeight w:val="517" w:hRule="atLeast"/>
          <w:jc w:val="center"/>
        </w:trPr>
        <w:tc>
          <w:tcPr>
            <w:tcW w:w="2913" w:type="dxa"/>
            <w:tcBorders>
              <w:top w:val="nil"/>
              <w:left w:val="single" w:color="auto" w:sz="8" w:space="0"/>
              <w:bottom w:val="single" w:color="auto" w:sz="8" w:space="0"/>
              <w:right w:val="single" w:color="auto" w:sz="8" w:space="0"/>
            </w:tcBorders>
            <w:noWrap w:val="0"/>
            <w:tcMar>
              <w:top w:w="20" w:type="dxa"/>
              <w:left w:w="20" w:type="dxa"/>
              <w:right w:w="20" w:type="dxa"/>
            </w:tcMar>
            <w:vAlign w:val="bottom"/>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其中：在岗在编人数</w:t>
            </w:r>
          </w:p>
        </w:tc>
        <w:tc>
          <w:tcPr>
            <w:tcW w:w="900"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lang w:val="en-US" w:eastAsia="zh-CN"/>
              </w:rPr>
            </w:pPr>
          </w:p>
        </w:tc>
        <w:tc>
          <w:tcPr>
            <w:tcW w:w="1132"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3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lang w:val="en-US" w:eastAsia="zh-CN"/>
              </w:rPr>
            </w:pPr>
          </w:p>
        </w:tc>
        <w:tc>
          <w:tcPr>
            <w:tcW w:w="107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5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1238"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r>
        <w:tblPrEx>
          <w:tblLayout w:type="fixed"/>
          <w:tblCellMar>
            <w:top w:w="0" w:type="dxa"/>
            <w:left w:w="0" w:type="dxa"/>
            <w:bottom w:w="0" w:type="dxa"/>
            <w:right w:w="0" w:type="dxa"/>
          </w:tblCellMar>
        </w:tblPrEx>
        <w:trPr>
          <w:trHeight w:val="517" w:hRule="atLeast"/>
          <w:jc w:val="center"/>
        </w:trPr>
        <w:tc>
          <w:tcPr>
            <w:tcW w:w="2913" w:type="dxa"/>
            <w:tcBorders>
              <w:top w:val="nil"/>
              <w:left w:val="single" w:color="auto" w:sz="8" w:space="0"/>
              <w:bottom w:val="single" w:color="auto" w:sz="8" w:space="0"/>
              <w:right w:val="single" w:color="auto" w:sz="8" w:space="0"/>
            </w:tcBorders>
            <w:noWrap w:val="0"/>
            <w:tcMar>
              <w:top w:w="20" w:type="dxa"/>
              <w:left w:w="20" w:type="dxa"/>
              <w:right w:w="20" w:type="dxa"/>
            </w:tcMar>
            <w:vAlign w:val="bottom"/>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在岗超编人数</w:t>
            </w:r>
          </w:p>
        </w:tc>
        <w:tc>
          <w:tcPr>
            <w:tcW w:w="900"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32"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3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7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5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1238"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r>
        <w:tblPrEx>
          <w:tblLayout w:type="fixed"/>
          <w:tblCellMar>
            <w:top w:w="0" w:type="dxa"/>
            <w:left w:w="0" w:type="dxa"/>
            <w:bottom w:w="0" w:type="dxa"/>
            <w:right w:w="0" w:type="dxa"/>
          </w:tblCellMar>
        </w:tblPrEx>
        <w:trPr>
          <w:trHeight w:val="517" w:hRule="atLeast"/>
          <w:jc w:val="center"/>
        </w:trPr>
        <w:tc>
          <w:tcPr>
            <w:tcW w:w="2913" w:type="dxa"/>
            <w:tcBorders>
              <w:top w:val="nil"/>
              <w:left w:val="single" w:color="auto" w:sz="8" w:space="0"/>
              <w:bottom w:val="single" w:color="auto" w:sz="8" w:space="0"/>
              <w:right w:val="single" w:color="auto" w:sz="8" w:space="0"/>
            </w:tcBorders>
            <w:noWrap w:val="0"/>
            <w:tcMar>
              <w:top w:w="20" w:type="dxa"/>
              <w:left w:w="20" w:type="dxa"/>
              <w:right w:w="20" w:type="dxa"/>
            </w:tcMar>
            <w:vAlign w:val="bottom"/>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离退休人数</w:t>
            </w:r>
          </w:p>
        </w:tc>
        <w:tc>
          <w:tcPr>
            <w:tcW w:w="900"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132"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3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2</w:t>
            </w:r>
          </w:p>
        </w:tc>
        <w:tc>
          <w:tcPr>
            <w:tcW w:w="107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5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1238"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r>
        <w:tblPrEx>
          <w:tblLayout w:type="fixed"/>
          <w:tblCellMar>
            <w:top w:w="0" w:type="dxa"/>
            <w:left w:w="0" w:type="dxa"/>
            <w:bottom w:w="0" w:type="dxa"/>
            <w:right w:w="0" w:type="dxa"/>
          </w:tblCellMar>
        </w:tblPrEx>
        <w:trPr>
          <w:trHeight w:val="517" w:hRule="atLeast"/>
          <w:jc w:val="center"/>
        </w:trPr>
        <w:tc>
          <w:tcPr>
            <w:tcW w:w="2913" w:type="dxa"/>
            <w:tcBorders>
              <w:top w:val="nil"/>
              <w:left w:val="single" w:color="auto" w:sz="8" w:space="0"/>
              <w:bottom w:val="single" w:color="auto" w:sz="8" w:space="0"/>
              <w:right w:val="single" w:color="auto" w:sz="8" w:space="0"/>
            </w:tcBorders>
            <w:noWrap w:val="0"/>
            <w:tcMar>
              <w:top w:w="20" w:type="dxa"/>
              <w:left w:w="20" w:type="dxa"/>
              <w:right w:w="20" w:type="dxa"/>
            </w:tcMar>
            <w:vAlign w:val="bottom"/>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其中：离休人数</w:t>
            </w:r>
          </w:p>
        </w:tc>
        <w:tc>
          <w:tcPr>
            <w:tcW w:w="900"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32"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3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7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5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1238"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r>
        <w:tblPrEx>
          <w:tblLayout w:type="fixed"/>
          <w:tblCellMar>
            <w:top w:w="0" w:type="dxa"/>
            <w:left w:w="0" w:type="dxa"/>
            <w:bottom w:w="0" w:type="dxa"/>
            <w:right w:w="0" w:type="dxa"/>
          </w:tblCellMar>
        </w:tblPrEx>
        <w:trPr>
          <w:trHeight w:val="517" w:hRule="atLeast"/>
          <w:jc w:val="center"/>
        </w:trPr>
        <w:tc>
          <w:tcPr>
            <w:tcW w:w="2913" w:type="dxa"/>
            <w:tcBorders>
              <w:top w:val="nil"/>
              <w:left w:val="single" w:color="auto" w:sz="8" w:space="0"/>
              <w:bottom w:val="single" w:color="auto" w:sz="8" w:space="0"/>
              <w:right w:val="single" w:color="auto" w:sz="8" w:space="0"/>
            </w:tcBorders>
            <w:noWrap w:val="0"/>
            <w:tcMar>
              <w:top w:w="20" w:type="dxa"/>
              <w:left w:w="20" w:type="dxa"/>
              <w:right w:w="20" w:type="dxa"/>
            </w:tcMar>
            <w:vAlign w:val="bottom"/>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退休人数</w:t>
            </w:r>
          </w:p>
        </w:tc>
        <w:tc>
          <w:tcPr>
            <w:tcW w:w="900"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r>
              <w:rPr>
                <w:rFonts w:hint="eastAsia" w:ascii="仿宋" w:hAnsi="仿宋" w:eastAsia="仿宋" w:cs="仿宋"/>
                <w:color w:val="000000"/>
                <w:kern w:val="0"/>
                <w:szCs w:val="21"/>
                <w:lang w:bidi="ar"/>
              </w:rPr>
              <w:t>1</w:t>
            </w:r>
            <w:r>
              <w:rPr>
                <w:rFonts w:hint="eastAsia" w:ascii="仿宋" w:hAnsi="仿宋" w:eastAsia="仿宋" w:cs="仿宋"/>
                <w:color w:val="000000"/>
                <w:kern w:val="0"/>
                <w:szCs w:val="21"/>
                <w:lang w:val="en-US" w:eastAsia="zh-CN" w:bidi="ar"/>
              </w:rPr>
              <w:t>2</w:t>
            </w:r>
          </w:p>
        </w:tc>
        <w:tc>
          <w:tcPr>
            <w:tcW w:w="1132"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3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2</w:t>
            </w:r>
          </w:p>
        </w:tc>
        <w:tc>
          <w:tcPr>
            <w:tcW w:w="107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5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1238"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r>
        <w:tblPrEx>
          <w:tblLayout w:type="fixed"/>
          <w:tblCellMar>
            <w:top w:w="0" w:type="dxa"/>
            <w:left w:w="0" w:type="dxa"/>
            <w:bottom w:w="0" w:type="dxa"/>
            <w:right w:w="0" w:type="dxa"/>
          </w:tblCellMar>
        </w:tblPrEx>
        <w:trPr>
          <w:trHeight w:val="517" w:hRule="atLeast"/>
          <w:jc w:val="center"/>
        </w:trPr>
        <w:tc>
          <w:tcPr>
            <w:tcW w:w="2913" w:type="dxa"/>
            <w:tcBorders>
              <w:top w:val="nil"/>
              <w:left w:val="single" w:color="auto" w:sz="8" w:space="0"/>
              <w:bottom w:val="single" w:color="auto" w:sz="8" w:space="0"/>
              <w:right w:val="single" w:color="auto" w:sz="8" w:space="0"/>
            </w:tcBorders>
            <w:noWrap w:val="0"/>
            <w:tcMar>
              <w:top w:w="20" w:type="dxa"/>
              <w:left w:w="20" w:type="dxa"/>
              <w:right w:w="20" w:type="dxa"/>
            </w:tcMar>
            <w:vAlign w:val="bottom"/>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遗属</w:t>
            </w:r>
          </w:p>
        </w:tc>
        <w:tc>
          <w:tcPr>
            <w:tcW w:w="900"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32"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3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7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15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1238"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r>
        <w:tblPrEx>
          <w:tblLayout w:type="fixed"/>
          <w:tblCellMar>
            <w:top w:w="0" w:type="dxa"/>
            <w:left w:w="0" w:type="dxa"/>
            <w:bottom w:w="0" w:type="dxa"/>
            <w:right w:w="0" w:type="dxa"/>
          </w:tblCellMar>
        </w:tblPrEx>
        <w:trPr>
          <w:trHeight w:val="560" w:hRule="atLeast"/>
          <w:jc w:val="center"/>
        </w:trPr>
        <w:tc>
          <w:tcPr>
            <w:tcW w:w="2913" w:type="dxa"/>
            <w:tcBorders>
              <w:top w:val="nil"/>
              <w:left w:val="single" w:color="auto" w:sz="8" w:space="0"/>
              <w:bottom w:val="single" w:color="auto" w:sz="8" w:space="0"/>
              <w:right w:val="single" w:color="auto" w:sz="8" w:space="0"/>
            </w:tcBorders>
            <w:noWrap w:val="0"/>
            <w:tcMar>
              <w:top w:w="20" w:type="dxa"/>
              <w:left w:w="20" w:type="dxa"/>
              <w:right w:w="20" w:type="dxa"/>
            </w:tcMar>
            <w:vAlign w:val="bottom"/>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编外长期聘用人员</w:t>
            </w:r>
          </w:p>
        </w:tc>
        <w:tc>
          <w:tcPr>
            <w:tcW w:w="900"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lang w:val="en-US" w:eastAsia="zh-CN"/>
              </w:rPr>
            </w:pPr>
            <w:r>
              <w:rPr>
                <w:rFonts w:hint="eastAsia" w:ascii="仿宋" w:hAnsi="仿宋" w:eastAsia="仿宋" w:cs="仿宋"/>
                <w:color w:val="000000"/>
                <w:kern w:val="0"/>
                <w:sz w:val="24"/>
                <w:lang w:val="en-US" w:eastAsia="zh-CN" w:bidi="ar"/>
              </w:rPr>
              <w:t>2</w:t>
            </w:r>
          </w:p>
        </w:tc>
        <w:tc>
          <w:tcPr>
            <w:tcW w:w="1132"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3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p>
        </w:tc>
        <w:tc>
          <w:tcPr>
            <w:tcW w:w="107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both"/>
              <w:rPr>
                <w:rFonts w:hint="eastAsia" w:ascii="仿宋" w:hAnsi="仿宋" w:eastAsia="仿宋" w:cs="仿宋"/>
                <w:sz w:val="24"/>
              </w:rPr>
            </w:pPr>
            <w:r>
              <w:rPr>
                <w:rFonts w:hint="eastAsia" w:ascii="仿宋" w:hAnsi="仿宋" w:eastAsia="仿宋" w:cs="仿宋"/>
                <w:color w:val="000000"/>
                <w:kern w:val="0"/>
                <w:sz w:val="24"/>
                <w:lang w:val="en-US" w:eastAsia="zh-CN" w:bidi="ar"/>
              </w:rPr>
              <w:t>2</w:t>
            </w:r>
          </w:p>
        </w:tc>
        <w:tc>
          <w:tcPr>
            <w:tcW w:w="1159"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c>
          <w:tcPr>
            <w:tcW w:w="1238" w:type="dxa"/>
            <w:tcBorders>
              <w:top w:val="nil"/>
              <w:left w:val="nil"/>
              <w:bottom w:val="single" w:color="auto" w:sz="8" w:space="0"/>
              <w:right w:val="single" w:color="auto" w:sz="8" w:space="0"/>
            </w:tcBorders>
            <w:noWrap w:val="0"/>
            <w:tcMar>
              <w:top w:w="20" w:type="dxa"/>
              <w:left w:w="20" w:type="dxa"/>
              <w:right w:w="20" w:type="dxa"/>
            </w:tcMar>
            <w:vAlign w:val="top"/>
          </w:tcPr>
          <w:p>
            <w:pPr>
              <w:widowControl/>
              <w:spacing w:beforeAutospacing="1" w:afterAutospacing="1" w:line="400" w:lineRule="atLeast"/>
              <w:ind w:firstLine="480"/>
              <w:jc w:val="center"/>
              <w:rPr>
                <w:rFonts w:hint="eastAsia" w:ascii="仿宋" w:hAnsi="仿宋" w:eastAsia="仿宋" w:cs="仿宋"/>
                <w:sz w:val="24"/>
              </w:rPr>
            </w:pPr>
            <w:r>
              <w:rPr>
                <w:rFonts w:hint="eastAsia" w:ascii="仿宋" w:hAnsi="仿宋" w:eastAsia="仿宋" w:cs="仿宋"/>
                <w:color w:val="000000"/>
                <w:kern w:val="0"/>
                <w:sz w:val="24"/>
                <w:lang w:bidi="ar"/>
              </w:rPr>
              <w:t> </w:t>
            </w:r>
          </w:p>
        </w:tc>
      </w:tr>
    </w:tbl>
    <w:p>
      <w:pPr>
        <w:spacing w:beforeLines="0" w:afterLines="0"/>
        <w:ind w:firstLine="645"/>
        <w:rPr>
          <w:rFonts w:hint="eastAsia" w:ascii="仿宋_GB2312" w:eastAsia="仿宋_GB2312"/>
          <w:sz w:val="32"/>
          <w:szCs w:val="32"/>
          <w:u w:val="none"/>
        </w:rPr>
      </w:pPr>
    </w:p>
    <w:p>
      <w:pPr>
        <w:rPr>
          <w:rFonts w:hint="default"/>
          <w:sz w:val="21"/>
          <w:szCs w:val="24"/>
          <w:u w:val="none"/>
        </w:rPr>
      </w:pPr>
      <w:r>
        <w:rPr>
          <w:rFonts w:hint="default"/>
          <w:sz w:val="21"/>
          <w:szCs w:val="24"/>
          <w:u w:val="none"/>
        </w:rPr>
        <w:br w:type="page"/>
      </w:r>
    </w:p>
    <w:p>
      <w:pPr>
        <w:spacing w:beforeLines="0" w:afterLines="0"/>
        <w:jc w:val="center"/>
        <w:rPr>
          <w:rFonts w:hint="default"/>
          <w:sz w:val="21"/>
          <w:szCs w:val="24"/>
          <w:u w:val="none"/>
        </w:rPr>
      </w:pPr>
    </w:p>
    <w:p>
      <w:pPr>
        <w:spacing w:beforeLines="0" w:afterLines="0"/>
        <w:rPr>
          <w:rFonts w:hint="eastAsia" w:ascii="仿宋_GB2312" w:eastAsia="仿宋_GB2312"/>
          <w:b/>
          <w:sz w:val="32"/>
          <w:szCs w:val="32"/>
          <w:u w:val="none"/>
        </w:rPr>
      </w:pPr>
      <w:r>
        <w:rPr>
          <w:rFonts w:hint="eastAsia" w:ascii="仿宋_GB2312" w:eastAsia="仿宋_GB2312"/>
          <w:b/>
          <w:sz w:val="32"/>
          <w:szCs w:val="32"/>
          <w:u w:val="none"/>
        </w:rPr>
        <w:t>第二部分：</w:t>
      </w:r>
      <w:r>
        <w:rPr>
          <w:rFonts w:hint="eastAsia" w:ascii="仿宋_GB2312" w:hAnsi="黑体" w:eastAsia="仿宋_GB2312"/>
          <w:b/>
          <w:color w:val="000000"/>
          <w:sz w:val="32"/>
          <w:szCs w:val="32"/>
          <w:u w:val="none"/>
          <w:lang w:eastAsia="zh-CN"/>
        </w:rPr>
        <w:t>鹿寨县史志办公室</w:t>
      </w:r>
      <w:r>
        <w:rPr>
          <w:rFonts w:hint="eastAsia" w:ascii="仿宋_GB2312" w:eastAsia="仿宋_GB2312"/>
          <w:b/>
          <w:sz w:val="32"/>
          <w:szCs w:val="32"/>
          <w:u w:val="none"/>
        </w:rPr>
        <w:t xml:space="preserve"> 2021年部门决算报表</w:t>
      </w:r>
    </w:p>
    <w:p>
      <w:pPr>
        <w:spacing w:beforeLines="0" w:afterLines="0"/>
        <w:jc w:val="center"/>
        <w:rPr>
          <w:rFonts w:hint="default"/>
          <w:sz w:val="21"/>
          <w:szCs w:val="24"/>
          <w:u w:val="none"/>
        </w:rPr>
      </w:pPr>
    </w:p>
    <w:p>
      <w:pPr>
        <w:spacing w:beforeLines="0" w:afterLines="0"/>
        <w:rPr>
          <w:rFonts w:hint="default"/>
          <w:sz w:val="21"/>
          <w:szCs w:val="24"/>
          <w:u w:val="none"/>
        </w:rPr>
      </w:pPr>
    </w:p>
    <w:p>
      <w:pPr>
        <w:spacing w:beforeLines="0" w:afterLines="0"/>
        <w:jc w:val="right"/>
        <w:rPr>
          <w:rFonts w:hint="default"/>
          <w:sz w:val="21"/>
          <w:szCs w:val="24"/>
          <w:u w:val="none"/>
        </w:rPr>
      </w:pPr>
      <w:r>
        <w:rPr>
          <w:rFonts w:hint="eastAsia"/>
          <w:sz w:val="22"/>
          <w:szCs w:val="22"/>
          <w:u w:val="none"/>
        </w:rPr>
        <w:t xml:space="preserve">                   </w:t>
      </w:r>
    </w:p>
    <w:p>
      <w:pPr>
        <w:spacing w:beforeLines="0" w:afterLines="0"/>
        <w:ind w:firstLine="640"/>
        <w:rPr>
          <w:rFonts w:hint="eastAsia" w:ascii="黑体" w:hAnsi="黑体" w:eastAsia="黑体"/>
          <w:sz w:val="32"/>
          <w:szCs w:val="32"/>
          <w:u w:val="none"/>
          <w:lang w:val="en-US" w:eastAsia="zh-CN"/>
        </w:rPr>
      </w:pPr>
      <w:r>
        <w:rPr>
          <w:rFonts w:hint="eastAsia" w:ascii="黑体" w:hAnsi="黑体" w:eastAsia="黑体"/>
          <w:sz w:val="32"/>
          <w:szCs w:val="32"/>
          <w:u w:val="none"/>
        </w:rPr>
        <w:t>(此部分另附表格，详见附件3：</w:t>
      </w:r>
      <w:r>
        <w:rPr>
          <w:rFonts w:hint="eastAsia" w:ascii="仿宋_GB2312" w:hAnsi="黑体" w:eastAsia="仿宋_GB2312"/>
          <w:b/>
          <w:color w:val="000000"/>
          <w:sz w:val="32"/>
          <w:szCs w:val="32"/>
          <w:u w:val="none"/>
        </w:rPr>
        <w:t>鹿寨县史志办公室</w:t>
      </w:r>
      <w:r>
        <w:rPr>
          <w:rFonts w:hint="eastAsia" w:ascii="黑体" w:hAnsi="黑体" w:eastAsia="黑体"/>
          <w:sz w:val="32"/>
          <w:szCs w:val="32"/>
          <w:u w:val="none"/>
        </w:rPr>
        <w:t>2021年度部门决算公开表</w:t>
      </w:r>
      <w:r>
        <w:rPr>
          <w:rFonts w:hint="eastAsia" w:ascii="黑体" w:hAnsi="黑体" w:eastAsia="黑体"/>
          <w:sz w:val="32"/>
          <w:szCs w:val="32"/>
          <w:u w:val="none"/>
          <w:lang w:eastAsia="zh-CN"/>
        </w:rPr>
        <w:t>）</w:t>
      </w:r>
    </w:p>
    <w:p>
      <w:pPr>
        <w:spacing w:beforeLines="0" w:afterLines="0"/>
        <w:rPr>
          <w:rFonts w:hint="default"/>
          <w:sz w:val="21"/>
          <w:szCs w:val="24"/>
          <w:u w:val="none"/>
        </w:rPr>
      </w:pPr>
    </w:p>
    <w:p>
      <w:pPr>
        <w:spacing w:beforeLines="0" w:afterLines="0"/>
        <w:rPr>
          <w:rFonts w:hint="default"/>
          <w:sz w:val="21"/>
          <w:szCs w:val="24"/>
          <w:u w:val="none"/>
        </w:rPr>
      </w:pPr>
    </w:p>
    <w:p>
      <w:pPr>
        <w:spacing w:beforeLines="0" w:afterLines="0"/>
        <w:rPr>
          <w:rFonts w:hint="default"/>
          <w:sz w:val="21"/>
          <w:szCs w:val="24"/>
          <w:u w:val="none"/>
        </w:rPr>
      </w:pPr>
    </w:p>
    <w:p>
      <w:pPr>
        <w:spacing w:beforeLines="0" w:afterLines="0"/>
        <w:rPr>
          <w:rFonts w:hint="default"/>
          <w:sz w:val="21"/>
          <w:szCs w:val="24"/>
          <w:u w:val="none"/>
        </w:rPr>
        <w:sectPr>
          <w:headerReference r:id="rId3" w:type="default"/>
          <w:footerReference r:id="rId4" w:type="default"/>
          <w:pgSz w:w="11906" w:h="16838"/>
          <w:pgMar w:top="1440" w:right="1797" w:bottom="1440" w:left="1377" w:header="851" w:footer="992" w:gutter="0"/>
          <w:lnNumType w:countBy="0" w:distance="360"/>
          <w:pgNumType w:fmt="numberInDash"/>
          <w:cols w:space="720" w:num="1"/>
          <w:docGrid w:type="lines" w:linePitch="312" w:charSpace="0"/>
        </w:sectPr>
      </w:pPr>
    </w:p>
    <w:p>
      <w:pPr>
        <w:spacing w:beforeLines="0" w:afterLines="0"/>
        <w:jc w:val="center"/>
        <w:rPr>
          <w:rFonts w:hint="eastAsia" w:ascii="方正小标宋简体" w:hAnsi="宋体" w:eastAsia="方正小标宋简体" w:cs="宋体"/>
          <w:kern w:val="0"/>
          <w:sz w:val="36"/>
          <w:szCs w:val="36"/>
          <w:u w:val="none"/>
        </w:rPr>
      </w:pPr>
    </w:p>
    <w:p>
      <w:pPr>
        <w:spacing w:beforeLines="0" w:afterLines="0" w:line="580" w:lineRule="exact"/>
        <w:rPr>
          <w:rFonts w:hint="eastAsia" w:ascii="仿宋_GB2312" w:eastAsia="仿宋_GB2312"/>
          <w:b/>
          <w:sz w:val="32"/>
          <w:szCs w:val="32"/>
          <w:u w:val="none"/>
        </w:rPr>
      </w:pPr>
      <w:r>
        <w:rPr>
          <w:rFonts w:hint="eastAsia" w:ascii="仿宋_GB2312" w:eastAsia="仿宋_GB2312"/>
          <w:b/>
          <w:sz w:val="32"/>
          <w:szCs w:val="32"/>
          <w:u w:val="none"/>
        </w:rPr>
        <w:t>第三部分：</w:t>
      </w:r>
      <w:r>
        <w:rPr>
          <w:rFonts w:hint="eastAsia" w:ascii="仿宋_GB2312" w:hAnsi="黑体" w:eastAsia="仿宋_GB2312"/>
          <w:b/>
          <w:color w:val="000000"/>
          <w:sz w:val="32"/>
          <w:szCs w:val="32"/>
          <w:u w:val="none"/>
          <w:lang w:eastAsia="zh-CN"/>
        </w:rPr>
        <w:t>鹿寨县史志办公室</w:t>
      </w:r>
      <w:r>
        <w:rPr>
          <w:rFonts w:hint="eastAsia" w:ascii="仿宋_GB2312" w:eastAsia="仿宋_GB2312"/>
          <w:b/>
          <w:sz w:val="32"/>
          <w:szCs w:val="32"/>
          <w:u w:val="none"/>
        </w:rPr>
        <w:t>2021年度部门决算情况说明</w:t>
      </w:r>
    </w:p>
    <w:p>
      <w:pPr>
        <w:autoSpaceDE w:val="0"/>
        <w:autoSpaceDN w:val="0"/>
        <w:adjustRightInd w:val="0"/>
        <w:spacing w:beforeLines="0" w:afterLines="0" w:line="560" w:lineRule="exact"/>
        <w:ind w:firstLine="640" w:firstLineChars="200"/>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一、</w:t>
      </w:r>
      <w:r>
        <w:rPr>
          <w:rFonts w:hint="eastAsia" w:ascii="黑体" w:hAnsi="黑体" w:eastAsia="黑体"/>
          <w:kern w:val="0"/>
          <w:sz w:val="32"/>
          <w:szCs w:val="32"/>
          <w:u w:val="none"/>
        </w:rPr>
        <w:t>2021</w:t>
      </w:r>
      <w:r>
        <w:rPr>
          <w:rFonts w:hint="eastAsia" w:ascii="黑体" w:hAnsi="黑体" w:eastAsia="黑体" w:cs="仿宋_GB2312"/>
          <w:kern w:val="0"/>
          <w:sz w:val="32"/>
          <w:szCs w:val="32"/>
          <w:u w:val="none"/>
        </w:rPr>
        <w:t>年度收入支出决算总体情况</w:t>
      </w:r>
    </w:p>
    <w:p>
      <w:p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（一）本部门2021年度总收入</w:t>
      </w:r>
      <w:r>
        <w:rPr>
          <w:rFonts w:hint="eastAsia" w:ascii="仿宋_GB2312" w:eastAsia="仿宋_GB2312"/>
          <w:kern w:val="0"/>
          <w:sz w:val="32"/>
          <w:szCs w:val="32"/>
          <w:u w:val="none"/>
          <w:lang w:val="en-US" w:eastAsia="zh-CN"/>
        </w:rPr>
        <w:t>185.15</w:t>
      </w:r>
      <w:r>
        <w:rPr>
          <w:rFonts w:hint="eastAsia" w:ascii="仿宋_GB2312" w:eastAsia="仿宋_GB2312" w:cs="仿宋_GB2312"/>
          <w:kern w:val="0"/>
          <w:sz w:val="32"/>
          <w:szCs w:val="32"/>
          <w:u w:val="none"/>
        </w:rPr>
        <w:t>万元，其中本年收入</w:t>
      </w:r>
      <w:r>
        <w:rPr>
          <w:rFonts w:hint="eastAsia" w:ascii="仿宋_GB2312" w:eastAsia="仿宋_GB2312" w:cs="仿宋_GB2312"/>
          <w:kern w:val="0"/>
          <w:sz w:val="32"/>
          <w:szCs w:val="32"/>
          <w:u w:val="none"/>
          <w:lang w:val="en-US" w:eastAsia="zh-CN"/>
        </w:rPr>
        <w:t>185.15</w:t>
      </w:r>
      <w:r>
        <w:rPr>
          <w:rFonts w:hint="eastAsia" w:ascii="仿宋_GB2312" w:eastAsia="仿宋_GB2312" w:cs="仿宋_GB2312"/>
          <w:kern w:val="0"/>
          <w:sz w:val="32"/>
          <w:szCs w:val="32"/>
          <w:u w:val="none"/>
        </w:rPr>
        <w:t xml:space="preserve">万元, </w:t>
      </w:r>
      <w:r>
        <w:rPr>
          <w:rFonts w:hint="eastAsia" w:ascii="仿宋_GB2312" w:hAnsi="黑体" w:eastAsia="仿宋_GB2312" w:cs="仿宋_GB2312"/>
          <w:kern w:val="0"/>
          <w:sz w:val="32"/>
          <w:szCs w:val="32"/>
          <w:u w:val="none"/>
        </w:rPr>
        <w:t>较2020年度决算数增加</w:t>
      </w:r>
      <w:r>
        <w:rPr>
          <w:rFonts w:hint="eastAsia" w:ascii="仿宋_GB2312" w:hAnsi="黑体" w:eastAsia="仿宋_GB2312" w:cs="仿宋_GB2312"/>
          <w:kern w:val="0"/>
          <w:sz w:val="32"/>
          <w:szCs w:val="32"/>
          <w:u w:val="none"/>
          <w:lang w:val="en-US" w:eastAsia="zh-CN"/>
        </w:rPr>
        <w:t>42.79</w:t>
      </w:r>
      <w:r>
        <w:rPr>
          <w:rFonts w:hint="eastAsia" w:ascii="仿宋_GB2312" w:hAnsi="黑体" w:eastAsia="仿宋_GB2312" w:cs="仿宋_GB2312"/>
          <w:kern w:val="0"/>
          <w:sz w:val="32"/>
          <w:szCs w:val="32"/>
          <w:u w:val="none"/>
        </w:rPr>
        <w:t>万元，增长</w:t>
      </w:r>
      <w:r>
        <w:rPr>
          <w:rFonts w:hint="eastAsia" w:ascii="仿宋_GB2312" w:hAnsi="黑体" w:eastAsia="仿宋_GB2312" w:cs="仿宋_GB2312"/>
          <w:kern w:val="0"/>
          <w:sz w:val="32"/>
          <w:szCs w:val="32"/>
          <w:u w:val="none"/>
          <w:lang w:val="en-US" w:eastAsia="zh-CN"/>
        </w:rPr>
        <w:t>30.06</w:t>
      </w:r>
      <w:r>
        <w:rPr>
          <w:rFonts w:hint="eastAsia" w:ascii="仿宋_GB2312" w:hAnsi="黑体" w:eastAsia="仿宋_GB2312" w:cs="仿宋_GB2312"/>
          <w:kern w:val="0"/>
          <w:sz w:val="32"/>
          <w:szCs w:val="32"/>
          <w:u w:val="none"/>
        </w:rPr>
        <w:t>%。</w:t>
      </w:r>
      <w:r>
        <w:rPr>
          <w:rFonts w:hint="eastAsia" w:ascii="仿宋_GB2312" w:eastAsia="仿宋_GB2312" w:cs="仿宋_GB2312"/>
          <w:kern w:val="0"/>
          <w:sz w:val="32"/>
          <w:szCs w:val="32"/>
          <w:u w:val="none"/>
        </w:rPr>
        <w:t>收入具体情况如下。</w:t>
      </w:r>
    </w:p>
    <w:p>
      <w:pPr>
        <w:autoSpaceDE w:val="0"/>
        <w:autoSpaceDN w:val="0"/>
        <w:adjustRightInd w:val="0"/>
        <w:spacing w:beforeLines="0" w:afterLines="0" w:line="560" w:lineRule="exact"/>
        <w:ind w:firstLine="627" w:firstLineChars="196"/>
        <w:jc w:val="left"/>
        <w:rPr>
          <w:rFonts w:hint="default" w:ascii="仿宋_GB2312" w:hAnsi="黑体" w:eastAsia="仿宋_GB2312" w:cs="仿宋_GB2312"/>
          <w:kern w:val="0"/>
          <w:sz w:val="32"/>
          <w:szCs w:val="32"/>
          <w:u w:val="none"/>
          <w:lang w:val="en-US" w:eastAsia="zh-CN"/>
        </w:rPr>
      </w:pPr>
      <w:r>
        <w:rPr>
          <w:rFonts w:hint="eastAsia" w:ascii="仿宋_GB2312" w:eastAsia="仿宋_GB2312"/>
          <w:kern w:val="0"/>
          <w:sz w:val="32"/>
          <w:szCs w:val="32"/>
          <w:u w:val="none"/>
        </w:rPr>
        <w:t>1</w:t>
      </w:r>
      <w:r>
        <w:rPr>
          <w:rFonts w:hint="eastAsia" w:ascii="仿宋_GB2312" w:eastAsia="仿宋_GB2312" w:cs="仿宋_GB2312"/>
          <w:kern w:val="0"/>
          <w:sz w:val="32"/>
          <w:szCs w:val="32"/>
          <w:u w:val="none"/>
        </w:rPr>
        <w:t>.一般公共预算财政拨款收入</w:t>
      </w:r>
      <w:r>
        <w:rPr>
          <w:rFonts w:hint="eastAsia" w:ascii="仿宋_GB2312" w:eastAsia="仿宋_GB2312"/>
          <w:kern w:val="0"/>
          <w:sz w:val="32"/>
          <w:szCs w:val="32"/>
          <w:u w:val="none"/>
          <w:lang w:val="en-US" w:eastAsia="zh-CN"/>
        </w:rPr>
        <w:t>185.15</w:t>
      </w:r>
      <w:r>
        <w:rPr>
          <w:rFonts w:hint="eastAsia" w:ascii="仿宋_GB2312" w:eastAsia="仿宋_GB2312" w:cs="仿宋_GB2312"/>
          <w:kern w:val="0"/>
          <w:sz w:val="32"/>
          <w:szCs w:val="32"/>
          <w:u w:val="none"/>
        </w:rPr>
        <w:t>万元，为财政当年拨付的资金。</w:t>
      </w:r>
      <w:r>
        <w:rPr>
          <w:rFonts w:hint="eastAsia" w:ascii="仿宋_GB2312" w:hAnsi="黑体" w:eastAsia="仿宋_GB2312" w:cs="仿宋_GB2312"/>
          <w:kern w:val="0"/>
          <w:sz w:val="32"/>
          <w:szCs w:val="32"/>
          <w:u w:val="none"/>
        </w:rPr>
        <w:t>较2020年度决算数增加</w:t>
      </w:r>
      <w:r>
        <w:rPr>
          <w:rFonts w:hint="eastAsia" w:ascii="仿宋_GB2312" w:hAnsi="黑体" w:eastAsia="仿宋_GB2312" w:cs="仿宋_GB2312"/>
          <w:kern w:val="0"/>
          <w:sz w:val="32"/>
          <w:szCs w:val="32"/>
          <w:u w:val="none"/>
          <w:lang w:val="en-US" w:eastAsia="zh-CN"/>
        </w:rPr>
        <w:t>42.79</w:t>
      </w:r>
      <w:r>
        <w:rPr>
          <w:rFonts w:hint="eastAsia" w:ascii="仿宋_GB2312" w:hAnsi="黑体" w:eastAsia="仿宋_GB2312" w:cs="仿宋_GB2312"/>
          <w:kern w:val="0"/>
          <w:sz w:val="32"/>
          <w:szCs w:val="32"/>
          <w:u w:val="none"/>
        </w:rPr>
        <w:t>万元，增长</w:t>
      </w:r>
      <w:r>
        <w:rPr>
          <w:rFonts w:hint="eastAsia" w:ascii="仿宋_GB2312" w:hAnsi="黑体" w:eastAsia="仿宋_GB2312" w:cs="仿宋_GB2312"/>
          <w:kern w:val="0"/>
          <w:sz w:val="32"/>
          <w:szCs w:val="32"/>
          <w:u w:val="none"/>
          <w:lang w:val="en-US" w:eastAsia="zh-CN"/>
        </w:rPr>
        <w:t>30.06</w:t>
      </w:r>
      <w:r>
        <w:rPr>
          <w:rFonts w:hint="eastAsia" w:ascii="仿宋_GB2312" w:hAnsi="黑体" w:eastAsia="仿宋_GB2312" w:cs="仿宋_GB2312"/>
          <w:kern w:val="0"/>
          <w:sz w:val="32"/>
          <w:szCs w:val="32"/>
          <w:u w:val="none"/>
        </w:rPr>
        <w:t>%，主要原因是：</w:t>
      </w:r>
      <w:r>
        <w:rPr>
          <w:rFonts w:hint="eastAsia" w:ascii="仿宋_GB2312" w:hAnsi="黑体" w:eastAsia="仿宋_GB2312" w:cs="仿宋_GB2312"/>
          <w:kern w:val="0"/>
          <w:sz w:val="32"/>
          <w:szCs w:val="32"/>
          <w:u w:val="none"/>
          <w:lang w:val="en-US" w:eastAsia="zh-CN"/>
        </w:rPr>
        <w:t>人员变动，社保基数调整，工资调整。</w:t>
      </w:r>
    </w:p>
    <w:p>
      <w:pPr>
        <w:autoSpaceDE w:val="0"/>
        <w:autoSpaceDN w:val="0"/>
        <w:adjustRightInd w:val="0"/>
        <w:spacing w:beforeLines="0" w:afterLines="0" w:line="560" w:lineRule="exact"/>
        <w:ind w:firstLine="627" w:firstLineChars="196"/>
        <w:jc w:val="left"/>
        <w:rPr>
          <w:rFonts w:hint="eastAsia" w:ascii="仿宋_GB2312" w:eastAsia="仿宋_GB2312" w:cs="仿宋_GB2312"/>
          <w:kern w:val="0"/>
          <w:sz w:val="32"/>
          <w:szCs w:val="32"/>
          <w:u w:val="none"/>
          <w:lang w:eastAsia="zh-CN"/>
        </w:rPr>
      </w:pPr>
      <w:r>
        <w:rPr>
          <w:rFonts w:hint="eastAsia" w:ascii="仿宋_GB2312" w:eastAsia="仿宋_GB2312" w:cs="仿宋_GB2312"/>
          <w:kern w:val="0"/>
          <w:sz w:val="32"/>
          <w:szCs w:val="32"/>
          <w:u w:val="none"/>
        </w:rPr>
        <w:t>2.政府性基金预算财政拨款收入</w:t>
      </w:r>
      <w:r>
        <w:rPr>
          <w:rFonts w:hint="eastAsia" w:ascii="仿宋_GB2312" w:eastAsia="仿宋_GB2312"/>
          <w:kern w:val="0"/>
          <w:sz w:val="32"/>
          <w:szCs w:val="32"/>
          <w:u w:val="none"/>
          <w:lang w:val="en-US" w:eastAsia="zh-CN"/>
        </w:rPr>
        <w:t>0</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val="en-US" w:eastAsia="zh-CN"/>
        </w:rPr>
        <w:t>。</w:t>
      </w:r>
    </w:p>
    <w:p>
      <w:pPr>
        <w:autoSpaceDE w:val="0"/>
        <w:autoSpaceDN w:val="0"/>
        <w:adjustRightInd w:val="0"/>
        <w:spacing w:beforeLines="0" w:afterLines="0" w:line="560" w:lineRule="exact"/>
        <w:ind w:firstLine="627" w:firstLineChars="196"/>
        <w:jc w:val="left"/>
        <w:rPr>
          <w:rFonts w:hint="eastAsia" w:ascii="仿宋_GB2312" w:eastAsia="仿宋_GB2312" w:cs="仿宋_GB2312"/>
          <w:kern w:val="0"/>
          <w:sz w:val="32"/>
          <w:szCs w:val="32"/>
          <w:u w:val="none"/>
          <w:lang w:val="en-US" w:eastAsia="zh-CN"/>
        </w:rPr>
      </w:pPr>
      <w:r>
        <w:rPr>
          <w:rFonts w:hint="eastAsia" w:ascii="仿宋_GB2312" w:eastAsia="仿宋_GB2312"/>
          <w:kern w:val="0"/>
          <w:sz w:val="32"/>
          <w:szCs w:val="32"/>
          <w:u w:val="none"/>
        </w:rPr>
        <w:t>3</w:t>
      </w:r>
      <w:r>
        <w:rPr>
          <w:rFonts w:hint="eastAsia" w:ascii="仿宋_GB2312" w:eastAsia="仿宋_GB2312" w:cs="仿宋_GB2312"/>
          <w:kern w:val="0"/>
          <w:sz w:val="32"/>
          <w:szCs w:val="32"/>
          <w:u w:val="none"/>
        </w:rPr>
        <w:t>.国有资本经营预算财政拨款收入</w:t>
      </w:r>
      <w:r>
        <w:rPr>
          <w:rFonts w:hint="eastAsia" w:ascii="仿宋_GB2312" w:eastAsia="仿宋_GB2312"/>
          <w:kern w:val="0"/>
          <w:sz w:val="32"/>
          <w:szCs w:val="32"/>
          <w:u w:val="none"/>
          <w:lang w:val="en-US" w:eastAsia="zh-CN"/>
        </w:rPr>
        <w:t>0</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val="en-US" w:eastAsia="zh-CN"/>
        </w:rPr>
        <w:t>.</w:t>
      </w:r>
    </w:p>
    <w:p>
      <w:pPr>
        <w:autoSpaceDE w:val="0"/>
        <w:autoSpaceDN w:val="0"/>
        <w:adjustRightInd w:val="0"/>
        <w:spacing w:beforeLines="0" w:afterLines="0" w:line="560" w:lineRule="exact"/>
        <w:ind w:firstLine="627" w:firstLineChars="196"/>
        <w:jc w:val="left"/>
        <w:rPr>
          <w:rFonts w:hint="eastAsia"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rPr>
        <w:t>4.事业收入</w:t>
      </w:r>
      <w:r>
        <w:rPr>
          <w:rFonts w:hint="eastAsia" w:ascii="仿宋_GB2312" w:eastAsia="仿宋_GB2312"/>
          <w:kern w:val="0"/>
          <w:sz w:val="32"/>
          <w:szCs w:val="32"/>
          <w:u w:val="none"/>
          <w:lang w:val="en-US" w:eastAsia="zh-CN"/>
        </w:rPr>
        <w:t>0</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eastAsia="zh-CN"/>
        </w:rPr>
        <w:t>。</w:t>
      </w:r>
    </w:p>
    <w:p>
      <w:pPr>
        <w:autoSpaceDE w:val="0"/>
        <w:autoSpaceDN w:val="0"/>
        <w:adjustRightInd w:val="0"/>
        <w:spacing w:beforeLines="0" w:afterLines="0" w:line="560" w:lineRule="exact"/>
        <w:ind w:firstLine="627" w:firstLineChars="196"/>
        <w:jc w:val="left"/>
        <w:rPr>
          <w:rFonts w:hint="eastAsia" w:ascii="仿宋_GB2312" w:eastAsia="仿宋_GB2312" w:cs="仿宋_GB2312"/>
          <w:kern w:val="0"/>
          <w:sz w:val="32"/>
          <w:szCs w:val="32"/>
          <w:u w:val="none"/>
          <w:lang w:eastAsia="zh-CN"/>
        </w:rPr>
      </w:pPr>
      <w:r>
        <w:rPr>
          <w:rFonts w:hint="eastAsia" w:ascii="仿宋_GB2312" w:eastAsia="仿宋_GB2312"/>
          <w:kern w:val="0"/>
          <w:sz w:val="32"/>
          <w:szCs w:val="32"/>
          <w:u w:val="none"/>
        </w:rPr>
        <w:t>5</w:t>
      </w:r>
      <w:r>
        <w:rPr>
          <w:rFonts w:hint="eastAsia" w:ascii="仿宋_GB2312" w:eastAsia="仿宋_GB2312" w:cs="仿宋_GB2312"/>
          <w:kern w:val="0"/>
          <w:sz w:val="32"/>
          <w:szCs w:val="32"/>
          <w:u w:val="none"/>
        </w:rPr>
        <w:t>.经营收入</w:t>
      </w:r>
      <w:r>
        <w:rPr>
          <w:rFonts w:hint="eastAsia" w:ascii="仿宋_GB2312" w:eastAsia="仿宋_GB2312"/>
          <w:kern w:val="0"/>
          <w:sz w:val="32"/>
          <w:szCs w:val="32"/>
          <w:u w:val="none"/>
          <w:lang w:val="en-US" w:eastAsia="zh-CN"/>
        </w:rPr>
        <w:t>0</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eastAsia="zh-CN"/>
        </w:rPr>
        <w:t>。</w:t>
      </w:r>
    </w:p>
    <w:p>
      <w:pPr>
        <w:autoSpaceDE w:val="0"/>
        <w:autoSpaceDN w:val="0"/>
        <w:adjustRightInd w:val="0"/>
        <w:spacing w:beforeLines="0" w:afterLines="0" w:line="560" w:lineRule="exact"/>
        <w:ind w:firstLine="627" w:firstLineChars="196"/>
        <w:jc w:val="left"/>
        <w:rPr>
          <w:rFonts w:hint="eastAsia" w:ascii="仿宋_GB2312" w:eastAsia="仿宋_GB2312" w:cs="仿宋_GB2312"/>
          <w:kern w:val="0"/>
          <w:sz w:val="32"/>
          <w:szCs w:val="32"/>
          <w:u w:val="none"/>
          <w:lang w:eastAsia="zh-CN"/>
        </w:rPr>
      </w:pPr>
      <w:r>
        <w:rPr>
          <w:rFonts w:hint="eastAsia" w:ascii="仿宋_GB2312" w:eastAsia="仿宋_GB2312"/>
          <w:kern w:val="0"/>
          <w:sz w:val="32"/>
          <w:szCs w:val="32"/>
          <w:u w:val="none"/>
        </w:rPr>
        <w:t>6</w:t>
      </w:r>
      <w:r>
        <w:rPr>
          <w:rFonts w:hint="eastAsia" w:ascii="仿宋_GB2312" w:eastAsia="仿宋_GB2312" w:cs="仿宋_GB2312"/>
          <w:kern w:val="0"/>
          <w:sz w:val="32"/>
          <w:szCs w:val="32"/>
          <w:u w:val="none"/>
        </w:rPr>
        <w:t>.其他收入</w:t>
      </w:r>
      <w:r>
        <w:rPr>
          <w:rFonts w:hint="eastAsia" w:ascii="仿宋_GB2312" w:eastAsia="仿宋_GB2312"/>
          <w:kern w:val="0"/>
          <w:sz w:val="32"/>
          <w:szCs w:val="32"/>
          <w:u w:val="none"/>
          <w:lang w:val="en-US" w:eastAsia="zh-CN"/>
        </w:rPr>
        <w:t>0</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eastAsia="zh-CN"/>
        </w:rPr>
        <w:t>。</w:t>
      </w:r>
    </w:p>
    <w:p>
      <w:pPr>
        <w:autoSpaceDE w:val="0"/>
        <w:autoSpaceDN w:val="0"/>
        <w:adjustRightInd w:val="0"/>
        <w:spacing w:beforeLines="0" w:afterLines="0" w:line="560" w:lineRule="exact"/>
        <w:ind w:firstLine="627" w:firstLineChars="196"/>
        <w:jc w:val="left"/>
        <w:rPr>
          <w:rFonts w:hint="eastAsia" w:ascii="仿宋_GB2312" w:eastAsia="仿宋_GB2312" w:cs="仿宋_GB2312"/>
          <w:kern w:val="0"/>
          <w:sz w:val="32"/>
          <w:szCs w:val="32"/>
          <w:u w:val="none"/>
          <w:lang w:eastAsia="zh-CN"/>
        </w:rPr>
      </w:pPr>
      <w:r>
        <w:rPr>
          <w:rFonts w:hint="eastAsia" w:ascii="仿宋_GB2312" w:eastAsia="仿宋_GB2312"/>
          <w:kern w:val="0"/>
          <w:sz w:val="32"/>
          <w:szCs w:val="32"/>
          <w:u w:val="none"/>
        </w:rPr>
        <w:t>7</w:t>
      </w:r>
      <w:r>
        <w:rPr>
          <w:rFonts w:hint="eastAsia" w:ascii="仿宋_GB2312" w:eastAsia="仿宋_GB2312" w:cs="仿宋_GB2312"/>
          <w:kern w:val="0"/>
          <w:sz w:val="32"/>
          <w:szCs w:val="32"/>
          <w:u w:val="none"/>
        </w:rPr>
        <w:t>.使用非财政拨款结余</w:t>
      </w:r>
      <w:r>
        <w:rPr>
          <w:rFonts w:hint="eastAsia" w:ascii="仿宋_GB2312" w:eastAsia="仿宋_GB2312"/>
          <w:kern w:val="0"/>
          <w:sz w:val="32"/>
          <w:szCs w:val="32"/>
          <w:u w:val="none"/>
          <w:lang w:val="en-US" w:eastAsia="zh-CN"/>
        </w:rPr>
        <w:t>0</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eastAsia="zh-CN"/>
        </w:rPr>
        <w:t>。</w:t>
      </w:r>
    </w:p>
    <w:p>
      <w:pPr>
        <w:autoSpaceDE w:val="0"/>
        <w:autoSpaceDN w:val="0"/>
        <w:adjustRightInd w:val="0"/>
        <w:spacing w:beforeLines="0" w:afterLines="0" w:line="560" w:lineRule="exact"/>
        <w:ind w:firstLine="627" w:firstLineChars="196"/>
        <w:jc w:val="left"/>
        <w:rPr>
          <w:rFonts w:hint="eastAsia" w:ascii="仿宋_GB2312" w:eastAsia="仿宋_GB2312" w:cs="仿宋_GB2312"/>
          <w:kern w:val="0"/>
          <w:sz w:val="32"/>
          <w:szCs w:val="32"/>
          <w:u w:val="none"/>
          <w:lang w:eastAsia="zh-CN"/>
        </w:rPr>
      </w:pPr>
      <w:r>
        <w:rPr>
          <w:rFonts w:hint="eastAsia" w:ascii="仿宋_GB2312" w:eastAsia="仿宋_GB2312"/>
          <w:kern w:val="0"/>
          <w:sz w:val="32"/>
          <w:szCs w:val="32"/>
          <w:u w:val="none"/>
        </w:rPr>
        <w:t>8</w:t>
      </w:r>
      <w:r>
        <w:rPr>
          <w:rFonts w:hint="eastAsia" w:ascii="仿宋_GB2312" w:eastAsia="仿宋_GB2312" w:cs="仿宋_GB2312"/>
          <w:kern w:val="0"/>
          <w:sz w:val="32"/>
          <w:szCs w:val="32"/>
          <w:u w:val="none"/>
        </w:rPr>
        <w:t>.上年结转和结余</w:t>
      </w:r>
      <w:r>
        <w:rPr>
          <w:rFonts w:hint="eastAsia" w:ascii="仿宋_GB2312" w:eastAsia="仿宋_GB2312"/>
          <w:kern w:val="0"/>
          <w:sz w:val="32"/>
          <w:szCs w:val="32"/>
          <w:u w:val="none"/>
          <w:lang w:val="en-US" w:eastAsia="zh-CN"/>
        </w:rPr>
        <w:t>0</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eastAsia="zh-CN"/>
        </w:rPr>
        <w:t>。</w:t>
      </w:r>
    </w:p>
    <w:p>
      <w:pPr>
        <w:autoSpaceDE w:val="0"/>
        <w:autoSpaceDN w:val="0"/>
        <w:adjustRightInd w:val="0"/>
        <w:spacing w:beforeLines="0" w:afterLines="0" w:line="560" w:lineRule="exact"/>
        <w:ind w:firstLine="627" w:firstLineChars="196"/>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（二）本部门2021年度总支出</w:t>
      </w:r>
      <w:r>
        <w:rPr>
          <w:rFonts w:hint="eastAsia" w:ascii="仿宋_GB2312" w:eastAsia="仿宋_GB2312"/>
          <w:kern w:val="0"/>
          <w:sz w:val="32"/>
          <w:szCs w:val="32"/>
          <w:u w:val="none"/>
          <w:lang w:val="en-US" w:eastAsia="zh-CN"/>
        </w:rPr>
        <w:t>185.15</w:t>
      </w:r>
      <w:r>
        <w:rPr>
          <w:rFonts w:hint="eastAsia" w:ascii="仿宋_GB2312" w:eastAsia="仿宋_GB2312" w:cs="仿宋_GB2312"/>
          <w:kern w:val="0"/>
          <w:sz w:val="32"/>
          <w:szCs w:val="32"/>
          <w:u w:val="none"/>
        </w:rPr>
        <w:t>万元，其中本年支出</w:t>
      </w:r>
      <w:r>
        <w:rPr>
          <w:rFonts w:hint="eastAsia" w:ascii="仿宋_GB2312" w:eastAsia="仿宋_GB2312" w:cs="仿宋_GB2312"/>
          <w:kern w:val="0"/>
          <w:sz w:val="32"/>
          <w:szCs w:val="32"/>
          <w:u w:val="none"/>
          <w:lang w:val="en-US" w:eastAsia="zh-CN"/>
        </w:rPr>
        <w:t>185.15</w:t>
      </w:r>
      <w:r>
        <w:rPr>
          <w:rFonts w:hint="eastAsia" w:ascii="仿宋_GB2312" w:eastAsia="仿宋_GB2312" w:cs="仿宋_GB2312"/>
          <w:kern w:val="0"/>
          <w:sz w:val="32"/>
          <w:szCs w:val="32"/>
          <w:u w:val="none"/>
        </w:rPr>
        <w:t xml:space="preserve">万元, </w:t>
      </w:r>
      <w:r>
        <w:rPr>
          <w:rFonts w:hint="eastAsia" w:ascii="仿宋_GB2312" w:hAnsi="黑体" w:eastAsia="仿宋_GB2312" w:cs="仿宋_GB2312"/>
          <w:kern w:val="0"/>
          <w:sz w:val="32"/>
          <w:szCs w:val="32"/>
          <w:u w:val="none"/>
        </w:rPr>
        <w:t>较2020年度决算数增加</w:t>
      </w:r>
      <w:r>
        <w:rPr>
          <w:rFonts w:hint="eastAsia" w:ascii="仿宋_GB2312" w:hAnsi="黑体" w:eastAsia="仿宋_GB2312" w:cs="仿宋_GB2312"/>
          <w:kern w:val="0"/>
          <w:sz w:val="32"/>
          <w:szCs w:val="32"/>
          <w:u w:val="none"/>
          <w:lang w:val="en-US" w:eastAsia="zh-CN"/>
        </w:rPr>
        <w:t>42.79</w:t>
      </w:r>
      <w:r>
        <w:rPr>
          <w:rFonts w:hint="eastAsia" w:ascii="仿宋_GB2312" w:hAnsi="黑体" w:eastAsia="仿宋_GB2312" w:cs="仿宋_GB2312"/>
          <w:kern w:val="0"/>
          <w:sz w:val="32"/>
          <w:szCs w:val="32"/>
          <w:u w:val="none"/>
        </w:rPr>
        <w:t>万元，增长</w:t>
      </w:r>
      <w:r>
        <w:rPr>
          <w:rFonts w:hint="eastAsia" w:ascii="仿宋_GB2312" w:hAnsi="黑体" w:eastAsia="仿宋_GB2312" w:cs="仿宋_GB2312"/>
          <w:kern w:val="0"/>
          <w:sz w:val="32"/>
          <w:szCs w:val="32"/>
          <w:u w:val="none"/>
          <w:lang w:val="en-US" w:eastAsia="zh-CN"/>
        </w:rPr>
        <w:t>30.06</w:t>
      </w:r>
      <w:r>
        <w:rPr>
          <w:rFonts w:hint="eastAsia" w:ascii="仿宋_GB2312" w:hAnsi="黑体" w:eastAsia="仿宋_GB2312" w:cs="仿宋_GB2312"/>
          <w:kern w:val="0"/>
          <w:sz w:val="32"/>
          <w:szCs w:val="32"/>
          <w:u w:val="none"/>
        </w:rPr>
        <w:t>%。</w:t>
      </w:r>
      <w:r>
        <w:rPr>
          <w:rFonts w:hint="eastAsia" w:ascii="仿宋_GB2312" w:eastAsia="仿宋_GB2312" w:cs="仿宋_GB2312"/>
          <w:kern w:val="0"/>
          <w:sz w:val="32"/>
          <w:szCs w:val="32"/>
          <w:u w:val="none"/>
        </w:rPr>
        <w:t>支出具体情况如下：</w:t>
      </w:r>
    </w:p>
    <w:p>
      <w:pPr>
        <w:autoSpaceDE w:val="0"/>
        <w:autoSpaceDN w:val="0"/>
        <w:adjustRightInd w:val="0"/>
        <w:spacing w:beforeLines="0" w:afterLines="0" w:line="560" w:lineRule="exact"/>
        <w:ind w:firstLine="627" w:firstLineChars="196"/>
        <w:jc w:val="left"/>
        <w:rPr>
          <w:rFonts w:hint="default" w:ascii="仿宋_GB2312" w:eastAsia="仿宋_GB2312" w:cs="仿宋_GB2312"/>
          <w:kern w:val="0"/>
          <w:sz w:val="32"/>
          <w:szCs w:val="32"/>
          <w:u w:val="none"/>
          <w:lang w:val="en-US" w:eastAsia="zh-CN"/>
        </w:rPr>
      </w:pPr>
      <w:r>
        <w:rPr>
          <w:rFonts w:hint="eastAsia" w:ascii="仿宋_GB2312" w:eastAsia="仿宋_GB2312"/>
          <w:kern w:val="0"/>
          <w:sz w:val="32"/>
          <w:szCs w:val="32"/>
          <w:u w:val="none"/>
        </w:rPr>
        <w:t>1</w:t>
      </w:r>
      <w:r>
        <w:rPr>
          <w:rFonts w:hint="eastAsia" w:ascii="仿宋_GB2312" w:eastAsia="仿宋_GB2312" w:cs="仿宋_GB2312"/>
          <w:kern w:val="0"/>
          <w:sz w:val="32"/>
          <w:szCs w:val="32"/>
          <w:u w:val="none"/>
        </w:rPr>
        <w:t>.一般公共服务支出</w:t>
      </w:r>
      <w:r>
        <w:rPr>
          <w:rFonts w:hint="eastAsia" w:ascii="仿宋_GB2312" w:eastAsia="仿宋_GB2312" w:cs="仿宋_GB2312"/>
          <w:kern w:val="0"/>
          <w:sz w:val="32"/>
          <w:szCs w:val="32"/>
          <w:u w:val="none"/>
          <w:lang w:val="en-US" w:eastAsia="zh-CN"/>
        </w:rPr>
        <w:t>97.03</w:t>
      </w:r>
      <w:r>
        <w:rPr>
          <w:rFonts w:hint="eastAsia" w:ascii="仿宋_GB2312" w:eastAsia="仿宋_GB2312" w:cs="仿宋_GB2312"/>
          <w:kern w:val="0"/>
          <w:sz w:val="32"/>
          <w:szCs w:val="32"/>
          <w:u w:val="none"/>
        </w:rPr>
        <w:t>万元：主要用于</w:t>
      </w:r>
      <w:r>
        <w:rPr>
          <w:rFonts w:hint="eastAsia" w:ascii="仿宋_GB2312" w:eastAsia="仿宋_GB2312" w:cs="仿宋_GB2312"/>
          <w:kern w:val="0"/>
          <w:sz w:val="32"/>
          <w:szCs w:val="32"/>
          <w:u w:val="none"/>
          <w:lang w:val="en-US" w:eastAsia="zh-CN"/>
        </w:rPr>
        <w:t>机构日常运转，</w:t>
      </w:r>
    </w:p>
    <w:p>
      <w:pPr>
        <w:autoSpaceDE w:val="0"/>
        <w:autoSpaceDN w:val="0"/>
        <w:adjustRightInd w:val="0"/>
        <w:spacing w:beforeLines="0" w:afterLines="0" w:line="560" w:lineRule="exact"/>
        <w:jc w:val="left"/>
        <w:rPr>
          <w:rFonts w:hint="default" w:ascii="仿宋_GB2312" w:hAnsi="黑体" w:eastAsia="仿宋_GB2312" w:cs="仿宋_GB2312"/>
          <w:kern w:val="0"/>
          <w:sz w:val="32"/>
          <w:szCs w:val="32"/>
          <w:u w:val="none"/>
          <w:lang w:val="en-US" w:eastAsia="zh-CN"/>
        </w:rPr>
      </w:pPr>
      <w:r>
        <w:rPr>
          <w:rFonts w:hint="eastAsia" w:ascii="仿宋_GB2312" w:hAnsi="黑体" w:eastAsia="仿宋_GB2312" w:cs="仿宋_GB2312"/>
          <w:kern w:val="0"/>
          <w:sz w:val="32"/>
          <w:szCs w:val="32"/>
          <w:u w:val="none"/>
        </w:rPr>
        <w:t>较2020年度决算数减少</w:t>
      </w:r>
      <w:r>
        <w:rPr>
          <w:rFonts w:hint="eastAsia" w:ascii="仿宋_GB2312" w:hAnsi="黑体" w:eastAsia="仿宋_GB2312" w:cs="仿宋_GB2312"/>
          <w:kern w:val="0"/>
          <w:sz w:val="32"/>
          <w:szCs w:val="32"/>
          <w:u w:val="none"/>
          <w:lang w:val="en-US" w:eastAsia="zh-CN"/>
        </w:rPr>
        <w:t>11.21</w:t>
      </w:r>
      <w:r>
        <w:rPr>
          <w:rFonts w:hint="eastAsia" w:ascii="仿宋_GB2312" w:hAnsi="黑体" w:eastAsia="仿宋_GB2312" w:cs="仿宋_GB2312"/>
          <w:kern w:val="0"/>
          <w:sz w:val="32"/>
          <w:szCs w:val="32"/>
          <w:u w:val="none"/>
        </w:rPr>
        <w:t>万元，下降</w:t>
      </w:r>
      <w:r>
        <w:rPr>
          <w:rFonts w:hint="eastAsia" w:ascii="仿宋_GB2312" w:hAnsi="黑体" w:eastAsia="仿宋_GB2312" w:cs="仿宋_GB2312"/>
          <w:kern w:val="0"/>
          <w:sz w:val="32"/>
          <w:szCs w:val="32"/>
          <w:u w:val="none"/>
          <w:lang w:val="en-US" w:eastAsia="zh-CN"/>
        </w:rPr>
        <w:t>10.36</w:t>
      </w:r>
      <w:r>
        <w:rPr>
          <w:rFonts w:hint="eastAsia" w:ascii="仿宋_GB2312" w:hAnsi="黑体" w:eastAsia="仿宋_GB2312" w:cs="仿宋_GB2312"/>
          <w:kern w:val="0"/>
          <w:sz w:val="32"/>
          <w:szCs w:val="32"/>
          <w:u w:val="none"/>
        </w:rPr>
        <w:t>%，主要原因是：</w:t>
      </w:r>
      <w:r>
        <w:rPr>
          <w:rFonts w:hint="eastAsia" w:ascii="仿宋_GB2312" w:hAnsi="黑体" w:eastAsia="仿宋_GB2312" w:cs="仿宋_GB2312"/>
          <w:kern w:val="0"/>
          <w:sz w:val="32"/>
          <w:szCs w:val="32"/>
          <w:u w:val="none"/>
          <w:lang w:val="en-US" w:eastAsia="zh-CN"/>
        </w:rPr>
        <w:t>人员变动，薪资调整。</w:t>
      </w:r>
    </w:p>
    <w:p>
      <w:pPr>
        <w:autoSpaceDE w:val="0"/>
        <w:autoSpaceDN w:val="0"/>
        <w:adjustRightInd w:val="0"/>
        <w:spacing w:beforeLines="0" w:afterLines="0" w:line="560" w:lineRule="exact"/>
        <w:ind w:firstLine="627" w:firstLineChars="196"/>
        <w:jc w:val="left"/>
        <w:rPr>
          <w:rFonts w:hint="default"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lang w:val="en-US" w:eastAsia="zh-CN"/>
        </w:rPr>
        <w:t>2.社会保障和就业支出73.01万元：主要用于职工社保保险缴纳，退休人员支出，较2020年度决算数增加60.96万元，主要原因：退休人员离世发放一次性抚恤金。</w:t>
      </w:r>
    </w:p>
    <w:p>
      <w:pPr>
        <w:autoSpaceDE w:val="0"/>
        <w:autoSpaceDN w:val="0"/>
        <w:adjustRightInd w:val="0"/>
        <w:spacing w:beforeLines="0" w:afterLines="0" w:line="560" w:lineRule="exact"/>
        <w:ind w:firstLine="627" w:firstLineChars="196"/>
        <w:jc w:val="left"/>
        <w:rPr>
          <w:rFonts w:hint="eastAsia"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lang w:val="en-US" w:eastAsia="zh-CN"/>
        </w:rPr>
        <w:t>3.卫生健康支出5.96万元：主要用于职工医疗保险缴纳，较2020年度决算数减少7.35万元，下降55.22%，主要原因：基数调整，人员变动。</w:t>
      </w:r>
    </w:p>
    <w:p>
      <w:pPr>
        <w:autoSpaceDE w:val="0"/>
        <w:autoSpaceDN w:val="0"/>
        <w:adjustRightInd w:val="0"/>
        <w:spacing w:beforeLines="0" w:afterLines="0" w:line="560" w:lineRule="exact"/>
        <w:ind w:firstLine="627" w:firstLineChars="196"/>
        <w:jc w:val="left"/>
        <w:rPr>
          <w:rFonts w:hint="default"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lang w:val="en-US" w:eastAsia="zh-CN"/>
        </w:rPr>
        <w:t>4.住房保障类支出7.05万元：主要用于职工公积金缴纳，较2020年度决算数减少1.71万，下降19.52%，主要原因：人员减少，基数调整。</w:t>
      </w:r>
    </w:p>
    <w:p>
      <w:pPr>
        <w:autoSpaceDE w:val="0"/>
        <w:autoSpaceDN w:val="0"/>
        <w:adjustRightInd w:val="0"/>
        <w:spacing w:beforeLines="0" w:afterLines="0" w:line="560" w:lineRule="exact"/>
        <w:jc w:val="left"/>
        <w:rPr>
          <w:rFonts w:hint="eastAsia" w:ascii="仿宋_GB2312" w:hAnsi="黑体" w:eastAsia="仿宋_GB2312" w:cs="仿宋_GB2312"/>
          <w:kern w:val="0"/>
          <w:sz w:val="32"/>
          <w:szCs w:val="32"/>
          <w:u w:val="none"/>
        </w:rPr>
      </w:pPr>
    </w:p>
    <w:p>
      <w:pPr>
        <w:autoSpaceDE w:val="0"/>
        <w:autoSpaceDN w:val="0"/>
        <w:adjustRightInd w:val="0"/>
        <w:spacing w:beforeLines="0" w:afterLines="0" w:line="560" w:lineRule="exact"/>
        <w:ind w:firstLine="640" w:firstLineChars="200"/>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二、</w:t>
      </w:r>
      <w:r>
        <w:rPr>
          <w:rFonts w:hint="eastAsia" w:ascii="黑体" w:hAnsi="黑体" w:eastAsia="黑体"/>
          <w:kern w:val="0"/>
          <w:sz w:val="32"/>
          <w:szCs w:val="32"/>
          <w:u w:val="none"/>
        </w:rPr>
        <w:t xml:space="preserve">2021 </w:t>
      </w:r>
      <w:r>
        <w:rPr>
          <w:rFonts w:hint="eastAsia" w:ascii="黑体" w:hAnsi="黑体" w:eastAsia="黑体" w:cs="仿宋_GB2312"/>
          <w:kern w:val="0"/>
          <w:sz w:val="32"/>
          <w:szCs w:val="32"/>
          <w:u w:val="none"/>
        </w:rPr>
        <w:t>年度</w:t>
      </w:r>
      <w:r>
        <w:rPr>
          <w:rFonts w:hint="eastAsia" w:ascii="黑体" w:hAnsi="黑体" w:eastAsia="黑体"/>
          <w:sz w:val="32"/>
          <w:szCs w:val="32"/>
          <w:u w:val="none"/>
        </w:rPr>
        <w:t>一般</w:t>
      </w:r>
      <w:r>
        <w:rPr>
          <w:rFonts w:hint="eastAsia" w:ascii="黑体" w:hAnsi="黑体" w:eastAsia="黑体" w:cs="仿宋_GB2312"/>
          <w:kern w:val="0"/>
          <w:sz w:val="32"/>
          <w:szCs w:val="32"/>
          <w:u w:val="none"/>
        </w:rPr>
        <w:t>公共预算财政拨款支出决算情况</w:t>
      </w:r>
    </w:p>
    <w:p>
      <w:p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本部门</w:t>
      </w:r>
      <w:r>
        <w:rPr>
          <w:rFonts w:hint="eastAsia" w:ascii="仿宋_GB2312" w:eastAsia="仿宋_GB2312"/>
          <w:kern w:val="0"/>
          <w:sz w:val="32"/>
          <w:szCs w:val="32"/>
          <w:u w:val="none"/>
        </w:rPr>
        <w:t xml:space="preserve">2021 </w:t>
      </w:r>
      <w:r>
        <w:rPr>
          <w:rFonts w:hint="eastAsia" w:ascii="仿宋_GB2312" w:eastAsia="仿宋_GB2312" w:cs="仿宋_GB2312"/>
          <w:kern w:val="0"/>
          <w:sz w:val="32"/>
          <w:szCs w:val="32"/>
          <w:u w:val="none"/>
        </w:rPr>
        <w:t>年度</w:t>
      </w:r>
      <w:r>
        <w:rPr>
          <w:rFonts w:hint="eastAsia" w:ascii="仿宋_GB2312" w:eastAsia="仿宋_GB2312"/>
          <w:sz w:val="32"/>
          <w:szCs w:val="32"/>
          <w:u w:val="none"/>
        </w:rPr>
        <w:t>一般</w:t>
      </w:r>
      <w:r>
        <w:rPr>
          <w:rFonts w:hint="eastAsia" w:ascii="仿宋_GB2312" w:eastAsia="仿宋_GB2312" w:cs="仿宋_GB2312"/>
          <w:kern w:val="0"/>
          <w:sz w:val="32"/>
          <w:szCs w:val="32"/>
          <w:u w:val="none"/>
        </w:rPr>
        <w:t>公共预算财政拨款支出</w:t>
      </w:r>
      <w:r>
        <w:rPr>
          <w:rFonts w:hint="eastAsia" w:ascii="仿宋_GB2312" w:eastAsia="仿宋_GB2312"/>
          <w:kern w:val="0"/>
          <w:sz w:val="32"/>
          <w:szCs w:val="32"/>
          <w:u w:val="none"/>
          <w:lang w:val="en-US" w:eastAsia="zh-CN"/>
        </w:rPr>
        <w:t>185.15</w:t>
      </w:r>
      <w:r>
        <w:rPr>
          <w:rFonts w:hint="eastAsia" w:ascii="仿宋_GB2312" w:eastAsia="仿宋_GB2312" w:cs="仿宋_GB2312"/>
          <w:kern w:val="0"/>
          <w:sz w:val="32"/>
          <w:szCs w:val="32"/>
          <w:u w:val="none"/>
        </w:rPr>
        <w:t>万元，</w:t>
      </w:r>
      <w:r>
        <w:rPr>
          <w:rFonts w:hint="eastAsia" w:ascii="仿宋_GB2312" w:hAnsi="黑体" w:eastAsia="仿宋_GB2312" w:cs="仿宋_GB2312"/>
          <w:kern w:val="0"/>
          <w:sz w:val="32"/>
          <w:szCs w:val="32"/>
          <w:u w:val="none"/>
        </w:rPr>
        <w:t>较2020年度决算数增加</w:t>
      </w:r>
      <w:r>
        <w:rPr>
          <w:rFonts w:hint="eastAsia" w:ascii="仿宋_GB2312" w:hAnsi="黑体" w:eastAsia="仿宋_GB2312" w:cs="仿宋_GB2312"/>
          <w:kern w:val="0"/>
          <w:sz w:val="32"/>
          <w:szCs w:val="32"/>
          <w:u w:val="none"/>
          <w:lang w:val="en-US" w:eastAsia="zh-CN"/>
        </w:rPr>
        <w:t>42.79</w:t>
      </w:r>
      <w:r>
        <w:rPr>
          <w:rFonts w:hint="eastAsia" w:ascii="仿宋_GB2312" w:hAnsi="黑体" w:eastAsia="仿宋_GB2312" w:cs="仿宋_GB2312"/>
          <w:kern w:val="0"/>
          <w:sz w:val="32"/>
          <w:szCs w:val="32"/>
          <w:u w:val="none"/>
        </w:rPr>
        <w:t>万元，增长</w:t>
      </w:r>
      <w:r>
        <w:rPr>
          <w:rFonts w:hint="eastAsia" w:ascii="仿宋_GB2312" w:hAnsi="黑体" w:eastAsia="仿宋_GB2312" w:cs="仿宋_GB2312"/>
          <w:kern w:val="0"/>
          <w:sz w:val="32"/>
          <w:szCs w:val="32"/>
          <w:u w:val="none"/>
          <w:lang w:val="en-US" w:eastAsia="zh-CN"/>
        </w:rPr>
        <w:t>30.06</w:t>
      </w:r>
      <w:r>
        <w:rPr>
          <w:rFonts w:hint="eastAsia" w:ascii="仿宋_GB2312" w:hAnsi="黑体" w:eastAsia="仿宋_GB2312" w:cs="仿宋_GB2312"/>
          <w:kern w:val="0"/>
          <w:sz w:val="32"/>
          <w:szCs w:val="32"/>
          <w:u w:val="none"/>
        </w:rPr>
        <w:t>%。</w:t>
      </w:r>
      <w:r>
        <w:rPr>
          <w:rFonts w:hint="eastAsia" w:ascii="仿宋_GB2312" w:eastAsia="仿宋_GB2312" w:cs="仿宋_GB2312"/>
          <w:kern w:val="0"/>
          <w:sz w:val="32"/>
          <w:szCs w:val="32"/>
          <w:u w:val="none"/>
        </w:rPr>
        <w:t>其中：基本支出</w:t>
      </w:r>
      <w:r>
        <w:rPr>
          <w:rFonts w:hint="eastAsia" w:ascii="仿宋_GB2312" w:eastAsia="仿宋_GB2312"/>
          <w:kern w:val="0"/>
          <w:sz w:val="32"/>
          <w:szCs w:val="32"/>
          <w:u w:val="none"/>
          <w:lang w:val="en-US" w:eastAsia="zh-CN"/>
        </w:rPr>
        <w:t>145.89</w:t>
      </w:r>
      <w:r>
        <w:rPr>
          <w:rFonts w:hint="eastAsia" w:ascii="仿宋_GB2312" w:eastAsia="仿宋_GB2312" w:cs="仿宋_GB2312"/>
          <w:kern w:val="0"/>
          <w:sz w:val="32"/>
          <w:szCs w:val="32"/>
          <w:u w:val="none"/>
        </w:rPr>
        <w:t>万元，项目支出</w:t>
      </w:r>
      <w:r>
        <w:rPr>
          <w:rFonts w:hint="eastAsia" w:ascii="仿宋_GB2312" w:eastAsia="仿宋_GB2312"/>
          <w:kern w:val="0"/>
          <w:sz w:val="32"/>
          <w:szCs w:val="32"/>
          <w:u w:val="none"/>
          <w:lang w:val="en-US" w:eastAsia="zh-CN"/>
        </w:rPr>
        <w:t>39.27</w:t>
      </w:r>
      <w:r>
        <w:rPr>
          <w:rFonts w:hint="eastAsia" w:ascii="仿宋_GB2312" w:eastAsia="仿宋_GB2312" w:cs="仿宋_GB2312"/>
          <w:kern w:val="0"/>
          <w:sz w:val="32"/>
          <w:szCs w:val="32"/>
          <w:u w:val="none"/>
        </w:rPr>
        <w:t>万元。</w:t>
      </w:r>
    </w:p>
    <w:p>
      <w:pPr>
        <w:autoSpaceDE w:val="0"/>
        <w:autoSpaceDN w:val="0"/>
        <w:adjustRightInd w:val="0"/>
        <w:spacing w:beforeLines="0" w:afterLines="0" w:line="560" w:lineRule="exact"/>
        <w:ind w:firstLine="640" w:firstLineChars="200"/>
        <w:jc w:val="left"/>
        <w:rPr>
          <w:rFonts w:hint="eastAsia" w:ascii="仿宋_GB2312" w:hAnsi="黑体" w:eastAsia="仿宋_GB2312" w:cs="仿宋_GB2312"/>
          <w:kern w:val="0"/>
          <w:sz w:val="32"/>
          <w:szCs w:val="32"/>
          <w:u w:val="none"/>
        </w:rPr>
      </w:pPr>
      <w:r>
        <w:rPr>
          <w:rFonts w:hint="eastAsia" w:ascii="仿宋_GB2312" w:eastAsia="仿宋_GB2312" w:cs="仿宋_GB2312"/>
          <w:kern w:val="0"/>
          <w:sz w:val="32"/>
          <w:szCs w:val="32"/>
          <w:u w:val="none"/>
        </w:rPr>
        <w:t>本部门</w:t>
      </w:r>
      <w:r>
        <w:rPr>
          <w:rFonts w:hint="eastAsia" w:ascii="仿宋_GB2312" w:hAnsi="黑体" w:eastAsia="仿宋_GB2312"/>
          <w:kern w:val="0"/>
          <w:sz w:val="32"/>
          <w:szCs w:val="32"/>
          <w:u w:val="none"/>
        </w:rPr>
        <w:t xml:space="preserve">2021 </w:t>
      </w:r>
      <w:r>
        <w:rPr>
          <w:rFonts w:hint="eastAsia" w:ascii="仿宋_GB2312" w:hAnsi="黑体" w:eastAsia="仿宋_GB2312" w:cs="仿宋_GB2312"/>
          <w:kern w:val="0"/>
          <w:sz w:val="32"/>
          <w:szCs w:val="32"/>
          <w:u w:val="none"/>
        </w:rPr>
        <w:t>年度</w:t>
      </w:r>
      <w:r>
        <w:rPr>
          <w:rFonts w:hint="eastAsia" w:ascii="仿宋_GB2312" w:hAnsi="黑体" w:eastAsia="仿宋_GB2312"/>
          <w:sz w:val="32"/>
          <w:szCs w:val="32"/>
          <w:u w:val="none"/>
        </w:rPr>
        <w:t>一般</w:t>
      </w:r>
      <w:r>
        <w:rPr>
          <w:rFonts w:hint="eastAsia" w:ascii="仿宋_GB2312" w:hAnsi="黑体" w:eastAsia="仿宋_GB2312" w:cs="仿宋_GB2312"/>
          <w:kern w:val="0"/>
          <w:sz w:val="32"/>
          <w:szCs w:val="32"/>
          <w:u w:val="none"/>
        </w:rPr>
        <w:t>公共预算财政拨款支出年初预算为</w:t>
      </w:r>
      <w:r>
        <w:rPr>
          <w:rFonts w:hint="eastAsia" w:ascii="仿宋_GB2312" w:hAnsi="黑体" w:eastAsia="仿宋_GB2312" w:cs="仿宋_GB2312"/>
          <w:kern w:val="0"/>
          <w:sz w:val="32"/>
          <w:szCs w:val="32"/>
          <w:u w:val="none"/>
          <w:lang w:val="en-US" w:eastAsia="zh-CN"/>
        </w:rPr>
        <w:t>134.4</w:t>
      </w:r>
      <w:r>
        <w:rPr>
          <w:rFonts w:hint="eastAsia" w:ascii="仿宋_GB2312" w:hAnsi="黑体" w:eastAsia="仿宋_GB2312" w:cs="仿宋_GB2312"/>
          <w:kern w:val="0"/>
          <w:sz w:val="32"/>
          <w:szCs w:val="32"/>
          <w:u w:val="none"/>
        </w:rPr>
        <w:t>万元，支出决算为</w:t>
      </w:r>
      <w:r>
        <w:rPr>
          <w:rFonts w:hint="eastAsia" w:ascii="仿宋_GB2312" w:hAnsi="黑体" w:eastAsia="仿宋_GB2312" w:cs="仿宋_GB2312"/>
          <w:kern w:val="0"/>
          <w:sz w:val="32"/>
          <w:szCs w:val="32"/>
          <w:u w:val="none"/>
          <w:lang w:val="en-US" w:eastAsia="zh-CN"/>
        </w:rPr>
        <w:t>185.15</w:t>
      </w:r>
      <w:r>
        <w:rPr>
          <w:rFonts w:hint="eastAsia" w:ascii="仿宋_GB2312" w:hAnsi="黑体" w:eastAsia="仿宋_GB2312" w:cs="仿宋_GB2312"/>
          <w:kern w:val="0"/>
          <w:sz w:val="32"/>
          <w:szCs w:val="32"/>
          <w:u w:val="none"/>
        </w:rPr>
        <w:t>万元，完成年初预算的</w:t>
      </w:r>
      <w:r>
        <w:rPr>
          <w:rFonts w:hint="eastAsia" w:ascii="仿宋_GB2312" w:hAnsi="黑体" w:eastAsia="仿宋_GB2312" w:cs="仿宋_GB2312"/>
          <w:kern w:val="0"/>
          <w:sz w:val="32"/>
          <w:szCs w:val="32"/>
          <w:u w:val="none"/>
          <w:lang w:val="en-US" w:eastAsia="zh-CN"/>
        </w:rPr>
        <w:t>137.76</w:t>
      </w:r>
      <w:r>
        <w:rPr>
          <w:rFonts w:hint="eastAsia" w:ascii="仿宋_GB2312" w:hAnsi="黑体" w:eastAsia="仿宋_GB2312" w:cs="仿宋_GB2312"/>
          <w:kern w:val="0"/>
          <w:sz w:val="32"/>
          <w:szCs w:val="32"/>
          <w:u w:val="none"/>
        </w:rPr>
        <w:t>%。其中：</w:t>
      </w:r>
    </w:p>
    <w:p>
      <w:pPr>
        <w:autoSpaceDE w:val="0"/>
        <w:autoSpaceDN w:val="0"/>
        <w:adjustRightInd w:val="0"/>
        <w:spacing w:beforeLines="0" w:afterLines="0" w:line="560" w:lineRule="exact"/>
        <w:ind w:firstLine="627" w:firstLineChars="196"/>
        <w:jc w:val="left"/>
        <w:rPr>
          <w:rFonts w:hint="default" w:ascii="仿宋_GB2312" w:eastAsia="仿宋_GB2312" w:cs="仿宋_GB2312"/>
          <w:kern w:val="0"/>
          <w:sz w:val="32"/>
          <w:szCs w:val="32"/>
          <w:u w:val="none"/>
          <w:lang w:val="en-US" w:eastAsia="zh-CN"/>
        </w:rPr>
      </w:pPr>
      <w:r>
        <w:rPr>
          <w:rFonts w:hint="eastAsia" w:ascii="仿宋_GB2312" w:eastAsia="仿宋_GB2312"/>
          <w:kern w:val="0"/>
          <w:sz w:val="32"/>
          <w:szCs w:val="32"/>
          <w:u w:val="none"/>
        </w:rPr>
        <w:t>（一）</w:t>
      </w:r>
      <w:r>
        <w:rPr>
          <w:rFonts w:hint="eastAsia" w:ascii="仿宋_GB2312" w:eastAsia="仿宋_GB2312" w:cs="仿宋_GB2312"/>
          <w:kern w:val="0"/>
          <w:sz w:val="32"/>
          <w:szCs w:val="32"/>
          <w:u w:val="none"/>
        </w:rPr>
        <w:t>一般公共服务（类）财政事务（款）行政运行（项）。</w:t>
      </w:r>
      <w:r>
        <w:rPr>
          <w:rFonts w:hint="eastAsia" w:ascii="仿宋_GB2312" w:hAnsi="黑体" w:eastAsia="仿宋_GB2312" w:cs="仿宋_GB2312"/>
          <w:kern w:val="0"/>
          <w:sz w:val="32"/>
          <w:szCs w:val="32"/>
          <w:u w:val="none"/>
        </w:rPr>
        <w:t>年初预算为</w:t>
      </w:r>
      <w:r>
        <w:rPr>
          <w:rFonts w:hint="eastAsia" w:ascii="仿宋_GB2312" w:hAnsi="黑体" w:eastAsia="仿宋_GB2312" w:cs="仿宋_GB2312"/>
          <w:kern w:val="0"/>
          <w:sz w:val="32"/>
          <w:szCs w:val="32"/>
          <w:u w:val="none"/>
          <w:lang w:val="en-US" w:eastAsia="zh-CN"/>
        </w:rPr>
        <w:t>94.09</w:t>
      </w:r>
      <w:r>
        <w:rPr>
          <w:rFonts w:hint="eastAsia" w:ascii="仿宋_GB2312" w:hAnsi="黑体" w:eastAsia="仿宋_GB2312" w:cs="仿宋_GB2312"/>
          <w:kern w:val="0"/>
          <w:sz w:val="32"/>
          <w:szCs w:val="32"/>
          <w:u w:val="none"/>
        </w:rPr>
        <w:t>万元，支出决算为</w:t>
      </w:r>
      <w:r>
        <w:rPr>
          <w:rFonts w:hint="eastAsia" w:ascii="仿宋_GB2312" w:hAnsi="黑体" w:eastAsia="仿宋_GB2312" w:cs="仿宋_GB2312"/>
          <w:kern w:val="0"/>
          <w:sz w:val="32"/>
          <w:szCs w:val="32"/>
          <w:u w:val="none"/>
          <w:lang w:val="en-US" w:eastAsia="zh-CN"/>
        </w:rPr>
        <w:t>97.03</w:t>
      </w:r>
      <w:r>
        <w:rPr>
          <w:rFonts w:hint="eastAsia" w:ascii="仿宋_GB2312" w:hAnsi="黑体" w:eastAsia="仿宋_GB2312" w:cs="仿宋_GB2312"/>
          <w:kern w:val="0"/>
          <w:sz w:val="32"/>
          <w:szCs w:val="32"/>
          <w:u w:val="none"/>
        </w:rPr>
        <w:t>万元，完成年初预算的</w:t>
      </w:r>
      <w:r>
        <w:rPr>
          <w:rFonts w:hint="eastAsia" w:ascii="仿宋_GB2312" w:hAnsi="黑体" w:eastAsia="仿宋_GB2312" w:cs="仿宋_GB2312"/>
          <w:kern w:val="0"/>
          <w:sz w:val="32"/>
          <w:szCs w:val="32"/>
          <w:u w:val="none"/>
          <w:lang w:val="en-US" w:eastAsia="zh-CN"/>
        </w:rPr>
        <w:t>103.12</w:t>
      </w:r>
      <w:r>
        <w:rPr>
          <w:rFonts w:hint="eastAsia" w:ascii="仿宋_GB2312" w:hAnsi="黑体" w:eastAsia="仿宋_GB2312" w:cs="仿宋_GB2312"/>
          <w:kern w:val="0"/>
          <w:sz w:val="32"/>
          <w:szCs w:val="32"/>
          <w:u w:val="none"/>
        </w:rPr>
        <w:t>%。</w:t>
      </w:r>
      <w:r>
        <w:rPr>
          <w:rFonts w:hint="eastAsia" w:ascii="仿宋_GB2312" w:eastAsia="仿宋_GB2312" w:cs="仿宋_GB2312"/>
          <w:kern w:val="0"/>
          <w:sz w:val="32"/>
          <w:szCs w:val="32"/>
          <w:u w:val="none"/>
        </w:rPr>
        <w:t>主要用于</w:t>
      </w:r>
      <w:r>
        <w:rPr>
          <w:rFonts w:hint="eastAsia" w:ascii="仿宋_GB2312" w:eastAsia="仿宋_GB2312" w:cs="仿宋_GB2312"/>
          <w:kern w:val="0"/>
          <w:sz w:val="32"/>
          <w:szCs w:val="32"/>
          <w:u w:val="none"/>
          <w:lang w:val="en-US" w:eastAsia="zh-CN"/>
        </w:rPr>
        <w:t>机构运行。</w:t>
      </w:r>
    </w:p>
    <w:p>
      <w:pPr>
        <w:autoSpaceDE w:val="0"/>
        <w:autoSpaceDN w:val="0"/>
        <w:adjustRightInd w:val="0"/>
        <w:spacing w:beforeLines="0" w:afterLines="0" w:line="560" w:lineRule="exact"/>
        <w:ind w:firstLine="627" w:firstLineChars="196"/>
        <w:jc w:val="left"/>
        <w:rPr>
          <w:rFonts w:hint="default"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rPr>
        <w:t>（二）一般公共服务（类）财政事务（款）一般行政管理事务（项）。</w:t>
      </w:r>
      <w:r>
        <w:rPr>
          <w:rFonts w:hint="eastAsia" w:ascii="仿宋_GB2312" w:hAnsi="黑体" w:eastAsia="仿宋_GB2312" w:cs="仿宋_GB2312"/>
          <w:kern w:val="0"/>
          <w:sz w:val="32"/>
          <w:szCs w:val="32"/>
          <w:u w:val="none"/>
        </w:rPr>
        <w:t>年初预算为</w:t>
      </w:r>
      <w:r>
        <w:rPr>
          <w:rFonts w:hint="eastAsia" w:ascii="仿宋_GB2312" w:hAnsi="黑体" w:eastAsia="仿宋_GB2312" w:cs="仿宋_GB2312"/>
          <w:kern w:val="0"/>
          <w:sz w:val="32"/>
          <w:szCs w:val="32"/>
          <w:u w:val="none"/>
          <w:lang w:val="en-US" w:eastAsia="zh-CN"/>
        </w:rPr>
        <w:t>39.27</w:t>
      </w:r>
      <w:r>
        <w:rPr>
          <w:rFonts w:hint="eastAsia" w:ascii="仿宋_GB2312" w:hAnsi="黑体" w:eastAsia="仿宋_GB2312" w:cs="仿宋_GB2312"/>
          <w:kern w:val="0"/>
          <w:sz w:val="32"/>
          <w:szCs w:val="32"/>
          <w:u w:val="none"/>
        </w:rPr>
        <w:t>元，支出决算为</w:t>
      </w:r>
      <w:r>
        <w:rPr>
          <w:rFonts w:hint="eastAsia" w:ascii="仿宋_GB2312" w:hAnsi="黑体" w:eastAsia="仿宋_GB2312" w:cs="仿宋_GB2312"/>
          <w:kern w:val="0"/>
          <w:sz w:val="32"/>
          <w:szCs w:val="32"/>
          <w:u w:val="none"/>
          <w:lang w:val="en-US" w:eastAsia="zh-CN"/>
        </w:rPr>
        <w:t>39.27</w:t>
      </w:r>
      <w:r>
        <w:rPr>
          <w:rFonts w:hint="eastAsia" w:ascii="仿宋_GB2312" w:hAnsi="黑体" w:eastAsia="仿宋_GB2312" w:cs="仿宋_GB2312"/>
          <w:kern w:val="0"/>
          <w:sz w:val="32"/>
          <w:szCs w:val="32"/>
          <w:u w:val="none"/>
        </w:rPr>
        <w:t>万元。</w:t>
      </w:r>
      <w:r>
        <w:rPr>
          <w:rFonts w:hint="eastAsia" w:ascii="仿宋_GB2312" w:eastAsia="仿宋_GB2312" w:cs="仿宋_GB2312"/>
          <w:kern w:val="0"/>
          <w:sz w:val="32"/>
          <w:szCs w:val="32"/>
          <w:u w:val="none"/>
        </w:rPr>
        <w:t>主要原因</w:t>
      </w:r>
      <w:r>
        <w:rPr>
          <w:rFonts w:hint="eastAsia" w:ascii="仿宋_GB2312" w:eastAsia="仿宋_GB2312" w:cs="仿宋_GB2312"/>
          <w:kern w:val="0"/>
          <w:sz w:val="32"/>
          <w:szCs w:val="32"/>
          <w:u w:val="none"/>
          <w:lang w:eastAsia="zh-CN"/>
        </w:rPr>
        <w:t>：</w:t>
      </w:r>
      <w:r>
        <w:rPr>
          <w:rFonts w:hint="eastAsia" w:ascii="仿宋_GB2312" w:eastAsia="仿宋_GB2312" w:cs="仿宋_GB2312"/>
          <w:kern w:val="0"/>
          <w:sz w:val="32"/>
          <w:szCs w:val="32"/>
          <w:u w:val="none"/>
          <w:lang w:val="en-US" w:eastAsia="zh-CN"/>
        </w:rPr>
        <w:t>人员变动。</w:t>
      </w:r>
    </w:p>
    <w:p>
      <w:pPr>
        <w:numPr>
          <w:ilvl w:val="0"/>
          <w:numId w:val="0"/>
        </w:num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（三）</w:t>
      </w:r>
      <w:r>
        <w:rPr>
          <w:rFonts w:hint="eastAsia" w:ascii="仿宋_GB2312" w:eastAsia="仿宋_GB2312" w:cs="仿宋_GB2312"/>
          <w:kern w:val="0"/>
          <w:sz w:val="32"/>
          <w:szCs w:val="32"/>
          <w:u w:val="none"/>
          <w:lang w:val="en-US" w:eastAsia="zh-CN"/>
        </w:rPr>
        <w:t>社会保障和就业支出73.01万元，卫生健康支出5.96万元，住房保障类支出7.05万元。</w:t>
      </w:r>
    </w:p>
    <w:p>
      <w:pPr>
        <w:autoSpaceDE w:val="0"/>
        <w:autoSpaceDN w:val="0"/>
        <w:adjustRightInd w:val="0"/>
        <w:spacing w:beforeLines="0" w:afterLines="0" w:line="560" w:lineRule="exact"/>
        <w:ind w:firstLine="640" w:firstLineChars="200"/>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三、2021年度一般公共预算财政拨款基本支出决算情况说明</w:t>
      </w:r>
    </w:p>
    <w:p>
      <w:p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本部门2021年度</w:t>
      </w:r>
      <w:r>
        <w:rPr>
          <w:rFonts w:hint="eastAsia" w:ascii="仿宋_GB2312" w:eastAsia="仿宋_GB2312"/>
          <w:sz w:val="32"/>
          <w:szCs w:val="32"/>
          <w:u w:val="none"/>
        </w:rPr>
        <w:t>一般</w:t>
      </w:r>
      <w:r>
        <w:rPr>
          <w:rFonts w:hint="eastAsia" w:ascii="仿宋_GB2312" w:eastAsia="仿宋_GB2312" w:cs="仿宋_GB2312"/>
          <w:kern w:val="0"/>
          <w:sz w:val="32"/>
          <w:szCs w:val="32"/>
          <w:u w:val="none"/>
        </w:rPr>
        <w:t>公共预算财政拨款基本支出</w:t>
      </w:r>
      <w:r>
        <w:rPr>
          <w:rFonts w:hint="eastAsia" w:ascii="仿宋_GB2312" w:eastAsia="仿宋_GB2312" w:cs="仿宋_GB2312"/>
          <w:kern w:val="0"/>
          <w:sz w:val="32"/>
          <w:szCs w:val="32"/>
          <w:u w:val="none"/>
          <w:lang w:val="en-US" w:eastAsia="zh-CN"/>
        </w:rPr>
        <w:t>145.89</w:t>
      </w:r>
      <w:r>
        <w:rPr>
          <w:rFonts w:hint="eastAsia" w:ascii="仿宋_GB2312" w:eastAsia="仿宋_GB2312" w:cs="仿宋_GB2312"/>
          <w:kern w:val="0"/>
          <w:sz w:val="32"/>
          <w:szCs w:val="32"/>
          <w:u w:val="none"/>
        </w:rPr>
        <w:t>万元，支出具体情况如下：</w:t>
      </w:r>
    </w:p>
    <w:p>
      <w:pPr>
        <w:autoSpaceDE w:val="0"/>
        <w:autoSpaceDN w:val="0"/>
        <w:adjustRightInd w:val="0"/>
        <w:spacing w:beforeLines="0" w:afterLines="0" w:line="560" w:lineRule="exact"/>
        <w:ind w:firstLine="640" w:firstLineChars="200"/>
        <w:jc w:val="left"/>
        <w:rPr>
          <w:rFonts w:hint="default" w:ascii="仿宋_GB2312" w:eastAsia="仿宋_GB2312"/>
          <w:kern w:val="0"/>
          <w:sz w:val="32"/>
          <w:szCs w:val="32"/>
          <w:u w:val="none"/>
          <w:lang w:val="en-US" w:eastAsia="zh-CN"/>
        </w:rPr>
      </w:pPr>
      <w:r>
        <w:rPr>
          <w:rFonts w:hint="eastAsia" w:ascii="仿宋_GB2312" w:eastAsia="仿宋_GB2312"/>
          <w:kern w:val="0"/>
          <w:sz w:val="32"/>
          <w:szCs w:val="32"/>
          <w:u w:val="none"/>
        </w:rPr>
        <w:t>（一）工资福利支出</w:t>
      </w:r>
      <w:r>
        <w:rPr>
          <w:rFonts w:hint="eastAsia" w:ascii="仿宋_GB2312" w:eastAsia="仿宋_GB2312"/>
          <w:kern w:val="0"/>
          <w:sz w:val="32"/>
          <w:szCs w:val="32"/>
          <w:u w:val="none"/>
          <w:lang w:val="en-US" w:eastAsia="zh-CN"/>
        </w:rPr>
        <w:t>76.3</w:t>
      </w:r>
      <w:r>
        <w:rPr>
          <w:rFonts w:hint="eastAsia" w:ascii="仿宋_GB2312" w:eastAsia="仿宋_GB2312"/>
          <w:kern w:val="0"/>
          <w:sz w:val="32"/>
          <w:szCs w:val="32"/>
          <w:u w:val="none"/>
        </w:rPr>
        <w:t>万元，完成年初预算的</w:t>
      </w:r>
      <w:r>
        <w:rPr>
          <w:rFonts w:hint="eastAsia" w:ascii="仿宋_GB2312" w:eastAsia="仿宋_GB2312"/>
          <w:kern w:val="0"/>
          <w:sz w:val="32"/>
          <w:szCs w:val="32"/>
          <w:u w:val="none"/>
          <w:lang w:val="en-US" w:eastAsia="zh-CN"/>
        </w:rPr>
        <w:t>92.31</w:t>
      </w:r>
      <w:r>
        <w:rPr>
          <w:rFonts w:hint="eastAsia" w:ascii="仿宋_GB2312" w:eastAsia="仿宋_GB2312"/>
          <w:kern w:val="0"/>
          <w:sz w:val="32"/>
          <w:szCs w:val="32"/>
          <w:u w:val="none"/>
        </w:rPr>
        <w:t>%。</w:t>
      </w:r>
      <w:r>
        <w:rPr>
          <w:rFonts w:hint="eastAsia" w:ascii="仿宋_GB2312" w:eastAsia="仿宋_GB2312"/>
          <w:kern w:val="0"/>
          <w:sz w:val="32"/>
          <w:szCs w:val="32"/>
          <w:u w:val="none"/>
          <w:lang w:val="en-US" w:eastAsia="zh-CN"/>
        </w:rPr>
        <w:t>人员变动导致差异。</w:t>
      </w:r>
    </w:p>
    <w:p>
      <w:pPr>
        <w:autoSpaceDE w:val="0"/>
        <w:autoSpaceDN w:val="0"/>
        <w:adjustRightInd w:val="0"/>
        <w:spacing w:beforeLines="0" w:afterLines="0" w:line="560" w:lineRule="exact"/>
        <w:ind w:firstLine="640" w:firstLineChars="200"/>
        <w:jc w:val="left"/>
        <w:rPr>
          <w:rFonts w:hint="default" w:ascii="仿宋_GB2312" w:eastAsia="仿宋_GB2312"/>
          <w:kern w:val="0"/>
          <w:sz w:val="32"/>
          <w:szCs w:val="32"/>
          <w:u w:val="none"/>
          <w:lang w:val="en-US" w:eastAsia="zh-CN"/>
        </w:rPr>
      </w:pPr>
      <w:r>
        <w:rPr>
          <w:rFonts w:hint="eastAsia" w:ascii="仿宋_GB2312" w:eastAsia="仿宋_GB2312"/>
          <w:kern w:val="0"/>
          <w:sz w:val="32"/>
          <w:szCs w:val="32"/>
          <w:u w:val="none"/>
        </w:rPr>
        <w:t>（二）商品和服务支出</w:t>
      </w:r>
      <w:r>
        <w:rPr>
          <w:rFonts w:hint="eastAsia" w:ascii="仿宋_GB2312" w:eastAsia="仿宋_GB2312"/>
          <w:kern w:val="0"/>
          <w:sz w:val="32"/>
          <w:szCs w:val="32"/>
          <w:u w:val="none"/>
          <w:lang w:val="en-US" w:eastAsia="zh-CN"/>
        </w:rPr>
        <w:t>9.32</w:t>
      </w:r>
      <w:r>
        <w:rPr>
          <w:rFonts w:hint="eastAsia" w:ascii="仿宋_GB2312" w:eastAsia="仿宋_GB2312"/>
          <w:kern w:val="0"/>
          <w:sz w:val="32"/>
          <w:szCs w:val="32"/>
          <w:u w:val="none"/>
        </w:rPr>
        <w:t>万元，完成年初预算的</w:t>
      </w:r>
      <w:r>
        <w:rPr>
          <w:rFonts w:hint="eastAsia" w:ascii="仿宋_GB2312" w:eastAsia="仿宋_GB2312"/>
          <w:kern w:val="0"/>
          <w:sz w:val="32"/>
          <w:szCs w:val="32"/>
          <w:u w:val="none"/>
          <w:lang w:val="en-US" w:eastAsia="zh-CN"/>
        </w:rPr>
        <w:t>74.26</w:t>
      </w:r>
      <w:r>
        <w:rPr>
          <w:rFonts w:hint="eastAsia" w:ascii="仿宋_GB2312" w:eastAsia="仿宋_GB2312"/>
          <w:kern w:val="0"/>
          <w:sz w:val="32"/>
          <w:szCs w:val="32"/>
          <w:u w:val="none"/>
        </w:rPr>
        <w:t>%。</w:t>
      </w:r>
      <w:r>
        <w:rPr>
          <w:rFonts w:hint="eastAsia" w:ascii="仿宋_GB2312" w:eastAsia="仿宋_GB2312"/>
          <w:kern w:val="0"/>
          <w:sz w:val="32"/>
          <w:szCs w:val="32"/>
          <w:u w:val="none"/>
          <w:lang w:val="en-US" w:eastAsia="zh-CN"/>
        </w:rPr>
        <w:t>人员变动导致差异。</w:t>
      </w:r>
    </w:p>
    <w:p>
      <w:pPr>
        <w:autoSpaceDE w:val="0"/>
        <w:autoSpaceDN w:val="0"/>
        <w:adjustRightInd w:val="0"/>
        <w:spacing w:beforeLines="0" w:afterLines="0" w:line="560" w:lineRule="exact"/>
        <w:ind w:firstLine="627" w:firstLineChars="196"/>
        <w:jc w:val="left"/>
        <w:rPr>
          <w:rFonts w:hint="default" w:ascii="仿宋_GB2312" w:eastAsia="仿宋_GB2312" w:cs="仿宋_GB2312"/>
          <w:kern w:val="0"/>
          <w:sz w:val="32"/>
          <w:szCs w:val="32"/>
          <w:u w:val="none"/>
          <w:lang w:val="en-US" w:eastAsia="zh-CN"/>
        </w:rPr>
      </w:pPr>
      <w:r>
        <w:rPr>
          <w:rFonts w:hint="eastAsia" w:ascii="仿宋_GB2312" w:eastAsia="仿宋_GB2312"/>
          <w:kern w:val="0"/>
          <w:sz w:val="32"/>
          <w:szCs w:val="32"/>
          <w:u w:val="none"/>
        </w:rPr>
        <w:t xml:space="preserve"> </w:t>
      </w:r>
      <w:r>
        <w:rPr>
          <w:rFonts w:hint="eastAsia" w:ascii="仿宋_GB2312" w:eastAsia="仿宋_GB2312" w:cs="仿宋_GB2312"/>
          <w:kern w:val="0"/>
          <w:sz w:val="32"/>
          <w:szCs w:val="32"/>
          <w:u w:val="none"/>
          <w:lang w:eastAsia="zh-CN"/>
        </w:rPr>
        <w:t>（</w:t>
      </w:r>
      <w:r>
        <w:rPr>
          <w:rFonts w:hint="eastAsia" w:ascii="仿宋_GB2312" w:eastAsia="仿宋_GB2312" w:cs="仿宋_GB2312"/>
          <w:kern w:val="0"/>
          <w:sz w:val="32"/>
          <w:szCs w:val="32"/>
          <w:u w:val="none"/>
          <w:lang w:val="en-US" w:eastAsia="zh-CN"/>
        </w:rPr>
        <w:t>三</w:t>
      </w:r>
      <w:r>
        <w:rPr>
          <w:rFonts w:hint="eastAsia" w:ascii="仿宋_GB2312" w:eastAsia="仿宋_GB2312" w:cs="仿宋_GB2312"/>
          <w:kern w:val="0"/>
          <w:sz w:val="32"/>
          <w:szCs w:val="32"/>
          <w:u w:val="none"/>
          <w:lang w:eastAsia="zh-CN"/>
        </w:rPr>
        <w:t>）</w:t>
      </w:r>
      <w:r>
        <w:rPr>
          <w:rFonts w:hint="eastAsia" w:ascii="仿宋_GB2312" w:eastAsia="仿宋_GB2312" w:cs="仿宋_GB2312"/>
          <w:kern w:val="0"/>
          <w:sz w:val="32"/>
          <w:szCs w:val="32"/>
          <w:u w:val="none"/>
          <w:lang w:val="en-US" w:eastAsia="zh-CN"/>
        </w:rPr>
        <w:t>对个人和家庭的补助支出60.26万元，其他对个人和家庭的补助支出0.50万元。</w:t>
      </w:r>
    </w:p>
    <w:p>
      <w:pPr>
        <w:autoSpaceDE w:val="0"/>
        <w:autoSpaceDN w:val="0"/>
        <w:adjustRightInd w:val="0"/>
        <w:spacing w:beforeLines="0" w:afterLines="0" w:line="560" w:lineRule="exact"/>
        <w:ind w:firstLine="640" w:firstLineChars="200"/>
        <w:jc w:val="left"/>
        <w:rPr>
          <w:rFonts w:hint="eastAsia" w:ascii="黑体" w:hAnsi="黑体" w:eastAsia="黑体" w:cs="仿宋_GB2312"/>
          <w:kern w:val="0"/>
          <w:sz w:val="32"/>
          <w:szCs w:val="32"/>
          <w:u w:val="none"/>
        </w:rPr>
      </w:pPr>
    </w:p>
    <w:p>
      <w:pPr>
        <w:autoSpaceDE w:val="0"/>
        <w:autoSpaceDN w:val="0"/>
        <w:adjustRightInd w:val="0"/>
        <w:spacing w:beforeLines="0" w:afterLines="0" w:line="560" w:lineRule="exact"/>
        <w:ind w:firstLine="640" w:firstLineChars="200"/>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四、2021年度政府性基金支出决算情况</w:t>
      </w:r>
    </w:p>
    <w:p>
      <w:pPr>
        <w:autoSpaceDE w:val="0"/>
        <w:autoSpaceDN w:val="0"/>
        <w:adjustRightInd w:val="0"/>
        <w:spacing w:beforeLines="0" w:afterLines="0" w:line="560" w:lineRule="exact"/>
        <w:ind w:firstLine="627" w:firstLineChars="196"/>
        <w:jc w:val="left"/>
        <w:rPr>
          <w:rFonts w:hint="eastAsia"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lang w:val="en-US" w:eastAsia="zh-CN"/>
        </w:rPr>
        <w:t>鹿寨县史志办公室2021年度没有政府性基金收入，也没有政府性基金安排的支出，故无数据情况说明。</w:t>
      </w:r>
    </w:p>
    <w:p>
      <w:pPr>
        <w:autoSpaceDE w:val="0"/>
        <w:autoSpaceDN w:val="0"/>
        <w:adjustRightInd w:val="0"/>
        <w:spacing w:beforeLines="0" w:afterLines="0" w:line="560" w:lineRule="exact"/>
        <w:ind w:firstLine="640" w:firstLineChars="200"/>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五、2021年度国有资本经营预算支出决算情况</w:t>
      </w:r>
    </w:p>
    <w:p>
      <w:pPr>
        <w:autoSpaceDE w:val="0"/>
        <w:autoSpaceDN w:val="0"/>
        <w:adjustRightInd w:val="0"/>
        <w:spacing w:beforeLines="0" w:afterLines="0" w:line="560" w:lineRule="exact"/>
        <w:ind w:firstLine="640" w:firstLineChars="200"/>
        <w:jc w:val="left"/>
        <w:rPr>
          <w:rFonts w:hint="eastAsia" w:ascii="仿宋_GB2312" w:eastAsia="仿宋_GB2312"/>
          <w:sz w:val="32"/>
          <w:szCs w:val="32"/>
          <w:u w:val="none"/>
        </w:rPr>
      </w:pPr>
      <w:r>
        <w:rPr>
          <w:rFonts w:hint="eastAsia" w:ascii="仿宋_GB2312" w:eastAsia="仿宋_GB2312"/>
          <w:sz w:val="32"/>
          <w:szCs w:val="32"/>
          <w:u w:val="none"/>
          <w:lang w:val="en-US" w:eastAsia="zh-CN"/>
        </w:rPr>
        <w:t>鹿寨县史志办公室</w:t>
      </w:r>
      <w:r>
        <w:rPr>
          <w:rFonts w:hint="eastAsia" w:ascii="仿宋_GB2312" w:eastAsia="仿宋_GB2312"/>
          <w:sz w:val="32"/>
          <w:szCs w:val="32"/>
          <w:u w:val="none"/>
        </w:rPr>
        <w:t>2021年度没有国有资本经营预算财政拨款收入，也没有国有资本经营预算财政拨款安排的支出，故无数据情况说明。</w:t>
      </w:r>
    </w:p>
    <w:p>
      <w:pPr>
        <w:autoSpaceDE w:val="0"/>
        <w:autoSpaceDN w:val="0"/>
        <w:adjustRightInd w:val="0"/>
        <w:spacing w:beforeLines="0" w:afterLines="0" w:line="560" w:lineRule="exact"/>
        <w:ind w:firstLine="640" w:firstLineChars="200"/>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六、</w:t>
      </w:r>
      <w:r>
        <w:rPr>
          <w:rFonts w:hint="eastAsia" w:ascii="黑体" w:hAnsi="黑体" w:eastAsia="黑体"/>
          <w:sz w:val="32"/>
          <w:szCs w:val="32"/>
          <w:u w:val="none"/>
        </w:rPr>
        <w:t>一般</w:t>
      </w:r>
      <w:r>
        <w:rPr>
          <w:rFonts w:hint="eastAsia" w:ascii="黑体" w:hAnsi="黑体" w:eastAsia="黑体" w:cs="仿宋_GB2312"/>
          <w:kern w:val="0"/>
          <w:sz w:val="32"/>
          <w:szCs w:val="32"/>
          <w:u w:val="none"/>
        </w:rPr>
        <w:t>公共预算财政拨款安排的“三公”经费支出决算情况说明</w:t>
      </w:r>
    </w:p>
    <w:p>
      <w:p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hAnsi="黑体" w:eastAsia="仿宋_GB2312"/>
          <w:color w:val="000000"/>
          <w:sz w:val="32"/>
          <w:szCs w:val="32"/>
          <w:u w:val="none"/>
          <w:lang w:eastAsia="zh-CN"/>
        </w:rPr>
        <w:t>鹿寨县史志办公室没有一般公共预算财政拨款安排的“三公”经费收入，也没有一般公共预算财政拨款安排的“三公”经费安排的支出，</w:t>
      </w:r>
      <w:r>
        <w:rPr>
          <w:rFonts w:hint="eastAsia" w:ascii="仿宋_GB2312" w:hAnsi="黑体" w:eastAsia="仿宋_GB2312"/>
          <w:color w:val="000000"/>
          <w:sz w:val="32"/>
          <w:szCs w:val="32"/>
          <w:u w:val="none"/>
        </w:rPr>
        <w:t>属单位开支财政拨款的公务用车保有量为</w:t>
      </w:r>
      <w:r>
        <w:rPr>
          <w:rFonts w:hint="eastAsia" w:ascii="仿宋_GB2312" w:hAnsi="黑体" w:eastAsia="仿宋_GB2312"/>
          <w:color w:val="000000"/>
          <w:sz w:val="32"/>
          <w:szCs w:val="32"/>
          <w:u w:val="none"/>
          <w:lang w:val="en-US" w:eastAsia="zh-CN"/>
        </w:rPr>
        <w:t>0</w:t>
      </w:r>
      <w:r>
        <w:rPr>
          <w:rFonts w:hint="eastAsia" w:ascii="仿宋_GB2312" w:hAnsi="黑体" w:eastAsia="仿宋_GB2312"/>
          <w:color w:val="000000"/>
          <w:sz w:val="32"/>
          <w:szCs w:val="32"/>
          <w:u w:val="none"/>
        </w:rPr>
        <w:t>辆</w:t>
      </w:r>
      <w:r>
        <w:rPr>
          <w:rFonts w:hint="eastAsia" w:ascii="仿宋_GB2312" w:hAnsi="黑体" w:eastAsia="仿宋_GB2312"/>
          <w:b/>
          <w:color w:val="000000"/>
          <w:sz w:val="32"/>
          <w:szCs w:val="32"/>
          <w:u w:val="none"/>
        </w:rPr>
        <w:t>，</w:t>
      </w:r>
      <w:r>
        <w:rPr>
          <w:rFonts w:hint="eastAsia" w:ascii="仿宋_GB2312" w:hAnsi="黑体" w:eastAsia="仿宋_GB2312"/>
          <w:color w:val="000000"/>
          <w:sz w:val="32"/>
          <w:szCs w:val="32"/>
          <w:u w:val="none"/>
        </w:rPr>
        <w:t>全年运行费支出</w:t>
      </w:r>
      <w:r>
        <w:rPr>
          <w:rFonts w:hint="eastAsia" w:ascii="仿宋_GB2312" w:hAnsi="黑体" w:eastAsia="仿宋_GB2312"/>
          <w:color w:val="000000"/>
          <w:sz w:val="32"/>
          <w:szCs w:val="32"/>
          <w:u w:val="none"/>
          <w:lang w:val="en-US" w:eastAsia="zh-CN"/>
        </w:rPr>
        <w:t>0</w:t>
      </w:r>
      <w:r>
        <w:rPr>
          <w:rFonts w:hint="eastAsia" w:ascii="仿宋_GB2312" w:hAnsi="黑体" w:eastAsia="仿宋_GB2312"/>
          <w:color w:val="000000"/>
          <w:sz w:val="32"/>
          <w:szCs w:val="32"/>
          <w:u w:val="none"/>
        </w:rPr>
        <w:t>万元。</w:t>
      </w:r>
    </w:p>
    <w:p>
      <w:p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公务接待费支出</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万元，国内公务接待批次</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次，人次</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次，国（境）外公务接待批次</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次，人次</w:t>
      </w:r>
      <w:r>
        <w:rPr>
          <w:rFonts w:hint="eastAsia" w:ascii="仿宋_GB2312" w:eastAsia="仿宋_GB2312" w:cs="仿宋_GB2312"/>
          <w:kern w:val="0"/>
          <w:sz w:val="32"/>
          <w:szCs w:val="32"/>
          <w:u w:val="none"/>
          <w:lang w:val="en-US" w:eastAsia="zh-CN"/>
        </w:rPr>
        <w:t>0</w:t>
      </w:r>
      <w:r>
        <w:rPr>
          <w:rFonts w:hint="eastAsia" w:ascii="仿宋_GB2312" w:eastAsia="仿宋_GB2312" w:cs="仿宋_GB2312"/>
          <w:kern w:val="0"/>
          <w:sz w:val="32"/>
          <w:szCs w:val="32"/>
          <w:u w:val="none"/>
        </w:rPr>
        <w:t>次</w:t>
      </w:r>
    </w:p>
    <w:p>
      <w:pPr>
        <w:autoSpaceDE w:val="0"/>
        <w:autoSpaceDN w:val="0"/>
        <w:adjustRightInd w:val="0"/>
        <w:spacing w:beforeLines="0" w:afterLines="0" w:line="560" w:lineRule="exact"/>
        <w:ind w:firstLine="627" w:firstLineChars="196"/>
        <w:jc w:val="left"/>
        <w:rPr>
          <w:rFonts w:hint="eastAsia" w:ascii="黑体" w:hAnsi="黑体" w:eastAsia="黑体" w:cs="仿宋_GB2312"/>
          <w:kern w:val="0"/>
          <w:sz w:val="32"/>
          <w:szCs w:val="32"/>
          <w:u w:val="none"/>
        </w:rPr>
      </w:pPr>
      <w:r>
        <w:rPr>
          <w:rFonts w:hint="eastAsia" w:ascii="黑体" w:hAnsi="黑体" w:eastAsia="黑体" w:cs="仿宋_GB2312"/>
          <w:kern w:val="0"/>
          <w:sz w:val="32"/>
          <w:szCs w:val="32"/>
          <w:u w:val="none"/>
        </w:rPr>
        <w:t>七、其他重要事项情况说明</w:t>
      </w:r>
    </w:p>
    <w:p>
      <w:pPr>
        <w:autoSpaceDE w:val="0"/>
        <w:autoSpaceDN w:val="0"/>
        <w:adjustRightInd w:val="0"/>
        <w:spacing w:beforeLines="0" w:afterLines="0" w:line="560" w:lineRule="exact"/>
        <w:ind w:firstLine="640" w:firstLineChars="200"/>
        <w:jc w:val="left"/>
        <w:rPr>
          <w:rFonts w:hint="eastAsia" w:ascii="楷体_GB2312" w:eastAsia="楷体_GB2312" w:cs="仿宋_GB2312"/>
          <w:kern w:val="0"/>
          <w:sz w:val="32"/>
          <w:szCs w:val="32"/>
          <w:u w:val="none"/>
        </w:rPr>
      </w:pPr>
      <w:r>
        <w:rPr>
          <w:rFonts w:hint="eastAsia" w:ascii="楷体_GB2312" w:eastAsia="楷体_GB2312" w:cs="仿宋_GB2312"/>
          <w:kern w:val="0"/>
          <w:sz w:val="32"/>
          <w:szCs w:val="32"/>
          <w:u w:val="none"/>
        </w:rPr>
        <w:t>（一）</w:t>
      </w:r>
      <w:r>
        <w:rPr>
          <w:rFonts w:hint="eastAsia" w:ascii="楷体_GB2312" w:eastAsia="楷体_GB2312"/>
          <w:sz w:val="32"/>
          <w:szCs w:val="32"/>
          <w:u w:val="none"/>
        </w:rPr>
        <w:t xml:space="preserve"> </w:t>
      </w:r>
      <w:r>
        <w:rPr>
          <w:rFonts w:hint="eastAsia" w:ascii="楷体_GB2312" w:eastAsia="楷体_GB2312" w:cs="仿宋_GB2312"/>
          <w:kern w:val="0"/>
          <w:sz w:val="32"/>
          <w:szCs w:val="32"/>
          <w:u w:val="none"/>
        </w:rPr>
        <w:t>机关运行经费支出情况说明。</w:t>
      </w:r>
    </w:p>
    <w:p>
      <w:p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本部门2021年度机关运行经费支出</w:t>
      </w:r>
      <w:r>
        <w:rPr>
          <w:rFonts w:hint="eastAsia" w:ascii="仿宋_GB2312" w:eastAsia="仿宋_GB2312" w:cs="仿宋_GB2312"/>
          <w:kern w:val="0"/>
          <w:sz w:val="32"/>
          <w:szCs w:val="32"/>
          <w:u w:val="none"/>
          <w:lang w:val="en-US" w:eastAsia="zh-CN"/>
        </w:rPr>
        <w:t>9.32</w:t>
      </w:r>
      <w:r>
        <w:rPr>
          <w:rFonts w:hint="eastAsia" w:ascii="仿宋_GB2312" w:eastAsia="仿宋_GB2312" w:cs="仿宋_GB2312"/>
          <w:kern w:val="0"/>
          <w:sz w:val="32"/>
          <w:szCs w:val="32"/>
          <w:u w:val="none"/>
        </w:rPr>
        <w:t>万元，比年初预算数</w:t>
      </w:r>
      <w:r>
        <w:rPr>
          <w:rFonts w:hint="eastAsia" w:ascii="仿宋_GB2312" w:eastAsia="仿宋_GB2312" w:cs="仿宋_GB2312"/>
          <w:kern w:val="0"/>
          <w:sz w:val="32"/>
          <w:szCs w:val="32"/>
          <w:u w:val="none"/>
          <w:lang w:val="en-US" w:eastAsia="zh-CN"/>
        </w:rPr>
        <w:t>减少3.23</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val="en-US" w:eastAsia="zh-CN"/>
        </w:rPr>
        <w:t>下降25.73</w:t>
      </w:r>
      <w:r>
        <w:rPr>
          <w:rFonts w:hint="eastAsia" w:ascii="仿宋_GB2312" w:eastAsia="仿宋_GB2312" w:cs="仿宋_GB2312"/>
          <w:kern w:val="0"/>
          <w:sz w:val="32"/>
          <w:szCs w:val="32"/>
          <w:u w:val="none"/>
        </w:rPr>
        <w:t xml:space="preserve"> %。主要原因是：</w:t>
      </w:r>
      <w:r>
        <w:rPr>
          <w:rFonts w:hint="eastAsia" w:ascii="仿宋_GB2312" w:eastAsia="仿宋_GB2312" w:cs="仿宋_GB2312"/>
          <w:kern w:val="0"/>
          <w:sz w:val="32"/>
          <w:szCs w:val="32"/>
          <w:u w:val="none"/>
          <w:lang w:val="en-US" w:eastAsia="zh-CN"/>
        </w:rPr>
        <w:t>人员变动</w:t>
      </w:r>
      <w:r>
        <w:rPr>
          <w:rFonts w:hint="eastAsia" w:ascii="仿宋_GB2312" w:eastAsia="仿宋_GB2312" w:cs="仿宋_GB2312"/>
          <w:kern w:val="0"/>
          <w:sz w:val="32"/>
          <w:szCs w:val="32"/>
          <w:u w:val="none"/>
        </w:rPr>
        <w:t>比2020年</w:t>
      </w:r>
      <w:r>
        <w:rPr>
          <w:rFonts w:hint="eastAsia" w:ascii="仿宋_GB2312" w:eastAsia="仿宋_GB2312" w:cs="仿宋_GB2312"/>
          <w:kern w:val="0"/>
          <w:sz w:val="32"/>
          <w:szCs w:val="32"/>
          <w:u w:val="none"/>
          <w:lang w:val="en-US" w:eastAsia="zh-CN"/>
        </w:rPr>
        <w:t>下降30.16</w:t>
      </w:r>
      <w:r>
        <w:rPr>
          <w:rFonts w:hint="eastAsia" w:ascii="仿宋_GB2312" w:eastAsia="仿宋_GB2312" w:cs="仿宋_GB2312"/>
          <w:kern w:val="0"/>
          <w:sz w:val="32"/>
          <w:szCs w:val="32"/>
          <w:u w:val="none"/>
        </w:rPr>
        <w:t>万元，</w:t>
      </w:r>
      <w:r>
        <w:rPr>
          <w:rFonts w:hint="eastAsia" w:ascii="仿宋_GB2312" w:eastAsia="仿宋_GB2312" w:cs="仿宋_GB2312"/>
          <w:kern w:val="0"/>
          <w:sz w:val="32"/>
          <w:szCs w:val="32"/>
          <w:u w:val="none"/>
          <w:lang w:val="en-US" w:eastAsia="zh-CN"/>
        </w:rPr>
        <w:t>下降76.4</w:t>
      </w:r>
      <w:r>
        <w:rPr>
          <w:rFonts w:hint="eastAsia" w:ascii="仿宋_GB2312" w:eastAsia="仿宋_GB2312" w:cs="仿宋_GB2312"/>
          <w:kern w:val="0"/>
          <w:sz w:val="32"/>
          <w:szCs w:val="32"/>
          <w:u w:val="none"/>
        </w:rPr>
        <w:t>%。主要原因是：人员</w:t>
      </w:r>
      <w:r>
        <w:rPr>
          <w:rFonts w:hint="eastAsia" w:ascii="仿宋_GB2312" w:eastAsia="仿宋_GB2312" w:cs="仿宋_GB2312"/>
          <w:kern w:val="0"/>
          <w:sz w:val="32"/>
          <w:szCs w:val="32"/>
          <w:u w:val="none"/>
          <w:lang w:val="en-US" w:eastAsia="zh-CN"/>
        </w:rPr>
        <w:t>变动</w:t>
      </w:r>
      <w:r>
        <w:rPr>
          <w:rFonts w:hint="eastAsia" w:ascii="仿宋_GB2312" w:eastAsia="仿宋_GB2312" w:cs="仿宋_GB2312"/>
          <w:kern w:val="0"/>
          <w:sz w:val="32"/>
          <w:szCs w:val="32"/>
          <w:u w:val="none"/>
        </w:rPr>
        <w:t xml:space="preserve"> 、落实过紧日子要求压减</w:t>
      </w:r>
      <w:r>
        <w:rPr>
          <w:rFonts w:hint="eastAsia" w:ascii="仿宋_GB2312" w:eastAsia="仿宋_GB2312" w:cs="仿宋_GB2312"/>
          <w:kern w:val="0"/>
          <w:sz w:val="32"/>
          <w:szCs w:val="32"/>
          <w:u w:val="none"/>
          <w:lang w:val="en-US" w:eastAsia="zh-CN"/>
        </w:rPr>
        <w:t>项目</w:t>
      </w:r>
      <w:r>
        <w:rPr>
          <w:rFonts w:hint="eastAsia" w:ascii="仿宋_GB2312" w:eastAsia="仿宋_GB2312" w:cs="仿宋_GB2312"/>
          <w:kern w:val="0"/>
          <w:sz w:val="32"/>
          <w:szCs w:val="32"/>
          <w:u w:val="none"/>
        </w:rPr>
        <w:t>支出。</w:t>
      </w:r>
    </w:p>
    <w:p>
      <w:pPr>
        <w:autoSpaceDE w:val="0"/>
        <w:autoSpaceDN w:val="0"/>
        <w:adjustRightInd w:val="0"/>
        <w:spacing w:beforeLines="0" w:afterLines="0" w:line="560" w:lineRule="exact"/>
        <w:ind w:firstLine="640" w:firstLineChars="200"/>
        <w:jc w:val="left"/>
        <w:rPr>
          <w:rFonts w:hint="eastAsia" w:ascii="楷体_GB2312" w:eastAsia="楷体_GB2312" w:cs="仿宋_GB2312"/>
          <w:kern w:val="0"/>
          <w:sz w:val="32"/>
          <w:szCs w:val="32"/>
          <w:u w:val="none"/>
        </w:rPr>
      </w:pPr>
      <w:r>
        <w:rPr>
          <w:rFonts w:hint="eastAsia" w:ascii="楷体_GB2312" w:eastAsia="楷体_GB2312" w:cs="仿宋_GB2312"/>
          <w:kern w:val="0"/>
          <w:sz w:val="32"/>
          <w:szCs w:val="32"/>
          <w:u w:val="none"/>
        </w:rPr>
        <w:t>（二）政府采购支出情况说明。</w:t>
      </w:r>
    </w:p>
    <w:p>
      <w:p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lang w:val="en-US" w:eastAsia="zh-CN"/>
        </w:rPr>
        <w:t>鹿寨史志办公室</w:t>
      </w:r>
      <w:r>
        <w:rPr>
          <w:rFonts w:hint="eastAsia" w:ascii="仿宋_GB2312" w:eastAsia="仿宋_GB2312" w:cs="仿宋_GB2312"/>
          <w:kern w:val="0"/>
          <w:sz w:val="32"/>
          <w:szCs w:val="32"/>
          <w:u w:val="none"/>
        </w:rPr>
        <w:t>无政府采购支出。</w:t>
      </w:r>
    </w:p>
    <w:p>
      <w:pPr>
        <w:autoSpaceDE w:val="0"/>
        <w:autoSpaceDN w:val="0"/>
        <w:adjustRightInd w:val="0"/>
        <w:spacing w:beforeLines="0" w:afterLines="0" w:line="560" w:lineRule="exact"/>
        <w:ind w:firstLine="640" w:firstLineChars="200"/>
        <w:jc w:val="left"/>
        <w:rPr>
          <w:rFonts w:hint="eastAsia" w:ascii="楷体_GB2312" w:eastAsia="楷体_GB2312" w:cs="仿宋_GB2312"/>
          <w:kern w:val="0"/>
          <w:sz w:val="32"/>
          <w:szCs w:val="32"/>
          <w:u w:val="none"/>
        </w:rPr>
      </w:pPr>
      <w:r>
        <w:rPr>
          <w:rFonts w:hint="eastAsia" w:ascii="楷体_GB2312" w:eastAsia="楷体_GB2312" w:cs="仿宋_GB2312"/>
          <w:kern w:val="0"/>
          <w:sz w:val="32"/>
          <w:szCs w:val="32"/>
          <w:u w:val="none"/>
        </w:rPr>
        <w:t>（三）国有资产占用情况说明。</w:t>
      </w:r>
    </w:p>
    <w:p>
      <w:pPr>
        <w:spacing w:line="580" w:lineRule="atLeast"/>
        <w:ind w:firstLine="640" w:firstLineChars="200"/>
        <w:rPr>
          <w:rFonts w:hint="default" w:ascii="仿宋_GB2312" w:eastAsia="仿宋_GB2312"/>
          <w:sz w:val="32"/>
          <w:szCs w:val="32"/>
          <w:lang w:val="en-US" w:eastAsia="zh-CN"/>
        </w:rPr>
      </w:pPr>
      <w:r>
        <w:rPr>
          <w:rFonts w:hint="eastAsia" w:ascii="仿宋_GB2312" w:eastAsia="仿宋_GB2312" w:cs="仿宋_GB2312"/>
          <w:kern w:val="0"/>
          <w:sz w:val="32"/>
          <w:szCs w:val="32"/>
          <w:u w:val="none"/>
        </w:rPr>
        <w:t>截至2021年12月31日，</w:t>
      </w:r>
      <w:r>
        <w:rPr>
          <w:rFonts w:hint="default" w:ascii="仿宋_GB2312" w:eastAsia="仿宋_GB2312"/>
          <w:sz w:val="32"/>
          <w:szCs w:val="32"/>
          <w:lang w:val="en-US" w:eastAsia="zh-CN"/>
        </w:rPr>
        <w:t>本部门占有的国有资产包括办公设备、办公家具等，总额</w:t>
      </w:r>
      <w:r>
        <w:rPr>
          <w:rFonts w:hint="eastAsia" w:ascii="仿宋_GB2312" w:eastAsia="仿宋_GB2312"/>
          <w:sz w:val="32"/>
          <w:szCs w:val="32"/>
          <w:lang w:val="en-US" w:eastAsia="zh-CN"/>
        </w:rPr>
        <w:t>11.73</w:t>
      </w:r>
      <w:r>
        <w:rPr>
          <w:rFonts w:hint="default" w:ascii="仿宋_GB2312" w:eastAsia="仿宋_GB2312"/>
          <w:sz w:val="32"/>
          <w:szCs w:val="32"/>
          <w:lang w:val="en-US" w:eastAsia="zh-CN"/>
        </w:rPr>
        <w:t>万元，正常使用。</w:t>
      </w:r>
    </w:p>
    <w:p>
      <w:pPr>
        <w:spacing w:line="580" w:lineRule="atLeast"/>
        <w:ind w:firstLine="640" w:firstLineChars="200"/>
        <w:rPr>
          <w:rFonts w:hint="eastAsia" w:ascii="楷体_GB2312" w:eastAsia="楷体_GB2312" w:cs="仿宋_GB2312"/>
          <w:kern w:val="0"/>
          <w:sz w:val="32"/>
          <w:szCs w:val="32"/>
          <w:u w:val="none"/>
        </w:rPr>
      </w:pPr>
      <w:r>
        <w:rPr>
          <w:rFonts w:hint="eastAsia" w:ascii="楷体_GB2312" w:eastAsia="楷体_GB2312" w:cs="仿宋_GB2312"/>
          <w:kern w:val="0"/>
          <w:sz w:val="32"/>
          <w:szCs w:val="32"/>
          <w:u w:val="none"/>
        </w:rPr>
        <w:t>（四）预算绩效管理工作开展情况。</w:t>
      </w:r>
    </w:p>
    <w:p>
      <w:p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1.绩效管理工作开展情况。</w:t>
      </w:r>
    </w:p>
    <w:p>
      <w:p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根据财政预算管理要求，我部门组织对2021年度一般公共预算项目支出全面开展绩效自评。共涉及资金</w:t>
      </w:r>
      <w:r>
        <w:rPr>
          <w:rFonts w:hint="eastAsia" w:ascii="仿宋_GB2312" w:eastAsia="仿宋_GB2312" w:cs="仿宋_GB2312"/>
          <w:kern w:val="0"/>
          <w:sz w:val="32"/>
          <w:szCs w:val="32"/>
          <w:u w:val="none"/>
          <w:lang w:val="en-US" w:eastAsia="zh-CN"/>
        </w:rPr>
        <w:t>15</w:t>
      </w:r>
      <w:r>
        <w:rPr>
          <w:rFonts w:hint="eastAsia" w:ascii="仿宋_GB2312" w:eastAsia="仿宋_GB2312" w:cs="仿宋_GB2312"/>
          <w:kern w:val="0"/>
          <w:sz w:val="32"/>
          <w:szCs w:val="32"/>
          <w:u w:val="none"/>
        </w:rPr>
        <w:t>万元，占一般公共预算项目支出总额的</w:t>
      </w:r>
      <w:r>
        <w:rPr>
          <w:rFonts w:hint="eastAsia" w:ascii="仿宋_GB2312" w:eastAsia="仿宋_GB2312" w:cs="仿宋_GB2312"/>
          <w:kern w:val="0"/>
          <w:sz w:val="32"/>
          <w:szCs w:val="32"/>
          <w:u w:val="none"/>
          <w:lang w:val="en-US" w:eastAsia="zh-CN"/>
        </w:rPr>
        <w:t>61</w:t>
      </w:r>
      <w:r>
        <w:rPr>
          <w:rFonts w:hint="eastAsia" w:ascii="仿宋_GB2312" w:eastAsia="仿宋_GB2312" w:cs="仿宋_GB2312"/>
          <w:kern w:val="0"/>
          <w:sz w:val="32"/>
          <w:szCs w:val="32"/>
          <w:u w:val="none"/>
        </w:rPr>
        <w:t>%。</w:t>
      </w:r>
    </w:p>
    <w:p>
      <w:pPr>
        <w:autoSpaceDE w:val="0"/>
        <w:autoSpaceDN w:val="0"/>
        <w:adjustRightInd w:val="0"/>
        <w:spacing w:beforeLines="0" w:afterLines="0" w:line="560" w:lineRule="exact"/>
        <w:ind w:firstLine="640" w:firstLineChars="200"/>
        <w:jc w:val="left"/>
        <w:rPr>
          <w:rFonts w:hint="eastAsia" w:ascii="仿宋_GB2312" w:eastAsia="仿宋_GB2312" w:cs="仿宋_GB2312"/>
          <w:kern w:val="0"/>
          <w:sz w:val="32"/>
          <w:szCs w:val="32"/>
          <w:u w:val="none"/>
        </w:rPr>
      </w:pPr>
      <w:r>
        <w:rPr>
          <w:rFonts w:hint="eastAsia" w:ascii="仿宋_GB2312" w:eastAsia="仿宋_GB2312" w:cs="仿宋_GB2312"/>
          <w:kern w:val="0"/>
          <w:sz w:val="32"/>
          <w:szCs w:val="32"/>
          <w:u w:val="none"/>
        </w:rPr>
        <w:t>共组织对“</w:t>
      </w:r>
      <w:r>
        <w:rPr>
          <w:rFonts w:hint="eastAsia" w:ascii="仿宋_GB2312" w:eastAsia="仿宋_GB2312" w:cs="仿宋_GB2312"/>
          <w:kern w:val="0"/>
          <w:sz w:val="32"/>
          <w:szCs w:val="32"/>
          <w:u w:val="none"/>
          <w:lang w:eastAsia="zh-CN"/>
        </w:rPr>
        <w:t>《</w:t>
      </w:r>
      <w:r>
        <w:rPr>
          <w:rFonts w:hint="eastAsia" w:ascii="仿宋_GB2312" w:eastAsia="仿宋_GB2312" w:cs="仿宋_GB2312"/>
          <w:kern w:val="0"/>
          <w:sz w:val="32"/>
          <w:szCs w:val="32"/>
          <w:u w:val="none"/>
          <w:lang w:val="en-US" w:eastAsia="zh-CN"/>
        </w:rPr>
        <w:t>鹿寨年鉴2021</w:t>
      </w:r>
      <w:r>
        <w:rPr>
          <w:rFonts w:hint="eastAsia" w:ascii="仿宋_GB2312" w:eastAsia="仿宋_GB2312" w:cs="仿宋_GB2312"/>
          <w:kern w:val="0"/>
          <w:sz w:val="32"/>
          <w:szCs w:val="32"/>
          <w:u w:val="none"/>
          <w:lang w:eastAsia="zh-CN"/>
        </w:rPr>
        <w:t>》</w:t>
      </w:r>
      <w:r>
        <w:rPr>
          <w:rFonts w:hint="eastAsia" w:ascii="仿宋_GB2312" w:eastAsia="仿宋_GB2312" w:cs="仿宋_GB2312"/>
          <w:kern w:val="0"/>
          <w:sz w:val="32"/>
          <w:szCs w:val="32"/>
          <w:u w:val="none"/>
        </w:rPr>
        <w:t>”等</w:t>
      </w:r>
      <w:r>
        <w:rPr>
          <w:rFonts w:hint="eastAsia" w:ascii="仿宋_GB2312" w:eastAsia="仿宋_GB2312" w:cs="仿宋_GB2312"/>
          <w:kern w:val="0"/>
          <w:sz w:val="32"/>
          <w:szCs w:val="32"/>
          <w:u w:val="none"/>
          <w:lang w:val="en-US" w:eastAsia="zh-CN"/>
        </w:rPr>
        <w:t>1</w:t>
      </w:r>
      <w:r>
        <w:rPr>
          <w:rFonts w:hint="eastAsia" w:ascii="仿宋_GB2312" w:eastAsia="仿宋_GB2312" w:cs="仿宋_GB2312"/>
          <w:kern w:val="0"/>
          <w:sz w:val="32"/>
          <w:szCs w:val="32"/>
          <w:u w:val="none"/>
        </w:rPr>
        <w:t>个项目进行了部门评价，涉及一般公共预算支出</w:t>
      </w:r>
      <w:r>
        <w:rPr>
          <w:rFonts w:hint="eastAsia" w:ascii="仿宋_GB2312" w:eastAsia="仿宋_GB2312" w:cs="仿宋_GB2312"/>
          <w:kern w:val="0"/>
          <w:sz w:val="32"/>
          <w:szCs w:val="32"/>
          <w:u w:val="none"/>
          <w:lang w:val="en-US" w:eastAsia="zh-CN"/>
        </w:rPr>
        <w:t>15</w:t>
      </w:r>
      <w:r>
        <w:rPr>
          <w:rFonts w:hint="eastAsia" w:ascii="仿宋_GB2312" w:eastAsia="仿宋_GB2312" w:cs="仿宋_GB2312"/>
          <w:kern w:val="0"/>
          <w:sz w:val="32"/>
          <w:szCs w:val="32"/>
          <w:u w:val="none"/>
        </w:rPr>
        <w:t>万元。</w:t>
      </w:r>
    </w:p>
    <w:p>
      <w:pPr>
        <w:autoSpaceDE w:val="0"/>
        <w:autoSpaceDN w:val="0"/>
        <w:adjustRightInd w:val="0"/>
        <w:spacing w:beforeLines="0" w:afterLines="0" w:line="560" w:lineRule="exact"/>
        <w:ind w:firstLine="640" w:firstLineChars="200"/>
        <w:jc w:val="left"/>
        <w:rPr>
          <w:rFonts w:hint="default" w:ascii="仿宋_GB2312" w:eastAsia="仿宋_GB2312" w:cs="仿宋_GB2312"/>
          <w:b/>
          <w:kern w:val="0"/>
          <w:sz w:val="32"/>
          <w:szCs w:val="32"/>
          <w:u w:val="none"/>
          <w:lang w:val="en-US" w:eastAsia="zh-CN"/>
        </w:rPr>
      </w:pPr>
      <w:r>
        <w:rPr>
          <w:rFonts w:hint="eastAsia" w:ascii="仿宋_GB2312" w:eastAsia="仿宋_GB2312" w:cs="仿宋_GB2312"/>
          <w:kern w:val="0"/>
          <w:sz w:val="32"/>
          <w:szCs w:val="32"/>
          <w:u w:val="none"/>
        </w:rPr>
        <w:t>我部门根据年初设定的绩效目标，</w:t>
      </w:r>
      <w:r>
        <w:rPr>
          <w:rFonts w:hint="eastAsia" w:ascii="仿宋_GB2312" w:eastAsia="仿宋_GB2312" w:cs="仿宋_GB2312"/>
          <w:kern w:val="0"/>
          <w:sz w:val="32"/>
          <w:szCs w:val="32"/>
          <w:u w:val="none"/>
          <w:lang w:eastAsia="zh-CN"/>
        </w:rPr>
        <w:t>《</w:t>
      </w:r>
      <w:r>
        <w:rPr>
          <w:rFonts w:hint="eastAsia" w:ascii="仿宋_GB2312" w:eastAsia="仿宋_GB2312" w:cs="仿宋_GB2312"/>
          <w:kern w:val="0"/>
          <w:sz w:val="32"/>
          <w:szCs w:val="32"/>
          <w:u w:val="none"/>
          <w:lang w:val="en-US" w:eastAsia="zh-CN"/>
        </w:rPr>
        <w:t>鹿寨年鉴2021</w:t>
      </w:r>
      <w:r>
        <w:rPr>
          <w:rFonts w:hint="eastAsia" w:ascii="仿宋_GB2312" w:eastAsia="仿宋_GB2312" w:cs="仿宋_GB2312"/>
          <w:kern w:val="0"/>
          <w:sz w:val="32"/>
          <w:szCs w:val="32"/>
          <w:u w:val="none"/>
          <w:lang w:eastAsia="zh-CN"/>
        </w:rPr>
        <w:t>》</w:t>
      </w:r>
      <w:r>
        <w:rPr>
          <w:rFonts w:hint="eastAsia" w:ascii="仿宋_GB2312" w:eastAsia="仿宋_GB2312" w:cs="仿宋_GB2312"/>
          <w:kern w:val="0"/>
          <w:sz w:val="32"/>
          <w:szCs w:val="32"/>
          <w:u w:val="none"/>
        </w:rPr>
        <w:t>项目自评得分为</w:t>
      </w:r>
      <w:r>
        <w:rPr>
          <w:rFonts w:hint="eastAsia" w:ascii="仿宋_GB2312" w:eastAsia="仿宋_GB2312" w:cs="仿宋_GB2312"/>
          <w:kern w:val="0"/>
          <w:sz w:val="32"/>
          <w:szCs w:val="32"/>
          <w:u w:val="none"/>
          <w:lang w:val="en-US" w:eastAsia="zh-CN"/>
        </w:rPr>
        <w:t>100</w:t>
      </w:r>
      <w:r>
        <w:rPr>
          <w:rFonts w:hint="eastAsia" w:ascii="仿宋_GB2312" w:eastAsia="仿宋_GB2312" w:cs="仿宋_GB2312"/>
          <w:kern w:val="0"/>
          <w:sz w:val="32"/>
          <w:szCs w:val="32"/>
          <w:u w:val="none"/>
        </w:rPr>
        <w:t>分。</w:t>
      </w:r>
      <w:r>
        <w:rPr>
          <w:rFonts w:hint="eastAsia" w:ascii="仿宋_GB2312" w:eastAsia="仿宋_GB2312" w:cs="仿宋_GB2312"/>
          <w:kern w:val="0"/>
          <w:sz w:val="32"/>
          <w:szCs w:val="32"/>
          <w:u w:val="none"/>
          <w:lang w:val="en-US" w:eastAsia="zh-CN"/>
        </w:rPr>
        <w:t>全部完成相关设定指标。</w:t>
      </w:r>
    </w:p>
    <w:p>
      <w:pPr>
        <w:spacing w:beforeLines="0" w:afterLines="0" w:line="580" w:lineRule="exact"/>
        <w:ind w:firstLine="645"/>
        <w:rPr>
          <w:rFonts w:hint="eastAsia" w:ascii="仿宋_GB2312" w:eastAsia="仿宋_GB2312"/>
          <w:b/>
          <w:sz w:val="32"/>
          <w:szCs w:val="32"/>
          <w:u w:val="none"/>
        </w:rPr>
        <w:sectPr>
          <w:pgSz w:w="11906" w:h="16838"/>
          <w:pgMar w:top="1440" w:right="1797" w:bottom="1440" w:left="1797" w:header="851" w:footer="992" w:gutter="0"/>
          <w:lnNumType w:countBy="0" w:distance="360"/>
          <w:pgNumType w:fmt="numberInDash"/>
          <w:cols w:space="720" w:num="1"/>
          <w:docGrid w:type="lines" w:linePitch="312" w:charSpace="0"/>
        </w:sectPr>
      </w:pPr>
    </w:p>
    <w:tbl>
      <w:tblPr>
        <w:tblW w:w="17545" w:type="dxa"/>
        <w:tblInd w:w="0" w:type="dxa"/>
        <w:shd w:val="clear"/>
        <w:tblLayout w:type="fixed"/>
        <w:tblCellMar>
          <w:top w:w="0" w:type="dxa"/>
          <w:left w:w="0" w:type="dxa"/>
          <w:bottom w:w="0" w:type="dxa"/>
          <w:right w:w="0" w:type="dxa"/>
        </w:tblCellMar>
      </w:tblPr>
      <w:tblGrid>
        <w:gridCol w:w="972"/>
        <w:gridCol w:w="972"/>
        <w:gridCol w:w="1012"/>
        <w:gridCol w:w="2592"/>
        <w:gridCol w:w="689"/>
        <w:gridCol w:w="3589"/>
        <w:gridCol w:w="3374"/>
        <w:gridCol w:w="1080"/>
        <w:gridCol w:w="1538"/>
        <w:gridCol w:w="1727"/>
      </w:tblGrid>
      <w:tr>
        <w:tblPrEx>
          <w:shd w:val="clear"/>
          <w:tblLayout w:type="fixed"/>
          <w:tblCellMar>
            <w:top w:w="0" w:type="dxa"/>
            <w:left w:w="0" w:type="dxa"/>
            <w:bottom w:w="0" w:type="dxa"/>
            <w:right w:w="0" w:type="dxa"/>
          </w:tblCellMar>
        </w:tblPrEx>
        <w:trPr>
          <w:trHeight w:val="408" w:hRule="atLeast"/>
        </w:trPr>
        <w:tc>
          <w:tcPr>
            <w:tcW w:w="17545" w:type="dxa"/>
            <w:gridSpan w:val="10"/>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2021年鹿寨县预算项目支出绩效自评表</w:t>
            </w:r>
          </w:p>
        </w:tc>
      </w:tr>
      <w:tr>
        <w:tblPrEx>
          <w:tblLayout w:type="fixed"/>
          <w:tblCellMar>
            <w:top w:w="0" w:type="dxa"/>
            <w:left w:w="0" w:type="dxa"/>
            <w:bottom w:w="0" w:type="dxa"/>
            <w:right w:w="0" w:type="dxa"/>
          </w:tblCellMar>
        </w:tblPrEx>
        <w:trPr>
          <w:trHeight w:val="420" w:hRule="atLeast"/>
        </w:trPr>
        <w:tc>
          <w:tcPr>
            <w:tcW w:w="5548" w:type="dxa"/>
            <w:gridSpan w:val="4"/>
            <w:tcBorders>
              <w:top w:val="nil"/>
              <w:left w:val="nil"/>
              <w:bottom w:val="single" w:color="000000" w:sz="4" w:space="0"/>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单位（盖章）：鹿寨县史志办公室</w:t>
            </w:r>
          </w:p>
        </w:tc>
        <w:tc>
          <w:tcPr>
            <w:tcW w:w="689"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3589"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3374"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38"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727"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14589" w:type="dxa"/>
            <w:gridSpan w:val="7"/>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《鹿寨年鉴2021》</w:t>
            </w:r>
          </w:p>
        </w:tc>
      </w:tr>
      <w:tr>
        <w:tblPrEx>
          <w:tblLayout w:type="fixed"/>
          <w:tblCellMar>
            <w:top w:w="0" w:type="dxa"/>
            <w:left w:w="0" w:type="dxa"/>
            <w:bottom w:w="0" w:type="dxa"/>
            <w:right w:w="0" w:type="dxa"/>
          </w:tblCellMar>
        </w:tblPrEx>
        <w:trPr>
          <w:trHeight w:val="30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w:t>
            </w:r>
          </w:p>
        </w:tc>
        <w:tc>
          <w:tcPr>
            <w:tcW w:w="6870"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鹿寨县史志办公室</w:t>
            </w:r>
          </w:p>
        </w:tc>
        <w:tc>
          <w:tcPr>
            <w:tcW w:w="7719"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项目实施单位：鹿寨县史志办公室</w:t>
            </w:r>
          </w:p>
        </w:tc>
      </w:tr>
      <w:tr>
        <w:tblPrEx>
          <w:tblLayout w:type="fixed"/>
          <w:tblCellMar>
            <w:top w:w="0" w:type="dxa"/>
            <w:left w:w="0" w:type="dxa"/>
            <w:bottom w:w="0" w:type="dxa"/>
            <w:right w:w="0" w:type="dxa"/>
          </w:tblCellMar>
        </w:tblPrEx>
        <w:trPr>
          <w:trHeight w:val="400" w:hRule="atLeast"/>
        </w:trPr>
        <w:tc>
          <w:tcPr>
            <w:tcW w:w="2956"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项目资金执行情况（万元）</w:t>
            </w: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调整预算数（A）</w:t>
            </w:r>
          </w:p>
        </w:tc>
        <w:tc>
          <w:tcPr>
            <w:tcW w:w="337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全年执行数（B）</w:t>
            </w:r>
          </w:p>
        </w:tc>
        <w:tc>
          <w:tcPr>
            <w:tcW w:w="4345"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预算资金执行率（B/A)</w:t>
            </w:r>
          </w:p>
        </w:tc>
      </w:tr>
      <w:tr>
        <w:tblPrEx>
          <w:tblLayout w:type="fixed"/>
          <w:tblCellMar>
            <w:top w:w="0" w:type="dxa"/>
            <w:left w:w="0" w:type="dxa"/>
            <w:bottom w:w="0" w:type="dxa"/>
            <w:right w:w="0" w:type="dxa"/>
          </w:tblCellMar>
        </w:tblPrEx>
        <w:trPr>
          <w:trHeight w:val="300" w:hRule="atLeast"/>
        </w:trPr>
        <w:tc>
          <w:tcPr>
            <w:tcW w:w="2956"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年度资金总额：</w:t>
            </w:r>
          </w:p>
        </w:tc>
        <w:tc>
          <w:tcPr>
            <w:tcW w:w="35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w:t>
            </w:r>
          </w:p>
        </w:tc>
        <w:tc>
          <w:tcPr>
            <w:tcW w:w="337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15</w:t>
            </w:r>
          </w:p>
        </w:tc>
        <w:tc>
          <w:tcPr>
            <w:tcW w:w="4345"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r>
      <w:tr>
        <w:tblPrEx>
          <w:tblLayout w:type="fixed"/>
          <w:tblCellMar>
            <w:top w:w="0" w:type="dxa"/>
            <w:left w:w="0" w:type="dxa"/>
            <w:bottom w:w="0" w:type="dxa"/>
            <w:right w:w="0" w:type="dxa"/>
          </w:tblCellMar>
        </w:tblPrEx>
        <w:trPr>
          <w:trHeight w:val="300" w:hRule="atLeast"/>
        </w:trPr>
        <w:tc>
          <w:tcPr>
            <w:tcW w:w="2956"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6"/>
                <w:bdr w:val="none" w:color="auto" w:sz="0" w:space="0"/>
                <w:lang w:val="en-US" w:eastAsia="zh-CN" w:bidi="ar"/>
              </w:rPr>
              <w:t xml:space="preserve"> </w:t>
            </w:r>
            <w:r>
              <w:rPr>
                <w:rStyle w:val="7"/>
                <w:bdr w:val="none" w:color="auto" w:sz="0" w:space="0"/>
                <w:lang w:val="en-US" w:eastAsia="zh-CN" w:bidi="ar"/>
              </w:rPr>
              <w:t xml:space="preserve">   其中：一般公共预算</w:t>
            </w:r>
          </w:p>
        </w:tc>
        <w:tc>
          <w:tcPr>
            <w:tcW w:w="35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37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4345"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100</w:t>
            </w:r>
          </w:p>
        </w:tc>
      </w:tr>
      <w:tr>
        <w:tblPrEx>
          <w:tblLayout w:type="fixed"/>
          <w:tblCellMar>
            <w:top w:w="0" w:type="dxa"/>
            <w:left w:w="0" w:type="dxa"/>
            <w:bottom w:w="0" w:type="dxa"/>
            <w:right w:w="0" w:type="dxa"/>
          </w:tblCellMar>
        </w:tblPrEx>
        <w:trPr>
          <w:trHeight w:val="300" w:hRule="atLeast"/>
        </w:trPr>
        <w:tc>
          <w:tcPr>
            <w:tcW w:w="2956"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政府性基金预算</w:t>
            </w:r>
          </w:p>
        </w:tc>
        <w:tc>
          <w:tcPr>
            <w:tcW w:w="35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345"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2956"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8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国有资本经营预算</w:t>
            </w:r>
          </w:p>
        </w:tc>
        <w:tc>
          <w:tcPr>
            <w:tcW w:w="35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345"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4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项目资金执行情况得分(C)</w:t>
            </w:r>
          </w:p>
        </w:tc>
        <w:tc>
          <w:tcPr>
            <w:tcW w:w="11324" w:type="dxa"/>
            <w:gridSpan w:val="5"/>
            <w:tcBorders>
              <w:top w:val="single" w:color="000000" w:sz="4" w:space="0"/>
              <w:left w:val="nil"/>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265" w:type="dxa"/>
            <w:gridSpan w:val="2"/>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项目资金执行情况得分（C）=年度资金总额预算资金执行率×该指标分值(10分)，最高不得超过分值上限10分。</w:t>
            </w:r>
          </w:p>
        </w:tc>
      </w:tr>
      <w:tr>
        <w:tblPrEx>
          <w:tblLayout w:type="fixed"/>
          <w:tblCellMar>
            <w:top w:w="0" w:type="dxa"/>
            <w:left w:w="0" w:type="dxa"/>
            <w:bottom w:w="0" w:type="dxa"/>
            <w:right w:w="0" w:type="dxa"/>
          </w:tblCellMar>
        </w:tblPrEx>
        <w:trPr>
          <w:trHeight w:val="1180" w:hRule="atLeast"/>
        </w:trPr>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年度总体目标</w:t>
            </w:r>
          </w:p>
        </w:tc>
        <w:tc>
          <w:tcPr>
            <w:tcW w:w="16573" w:type="dxa"/>
            <w:gridSpan w:val="9"/>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年内编辑出版《鹿寨年鉴2021》500本，次年1月底前完成全年任务.成本控制在15万元内。</w:t>
            </w:r>
          </w:p>
        </w:tc>
      </w:tr>
      <w:tr>
        <w:tblPrEx>
          <w:tblLayout w:type="fixed"/>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年度绩效指标</w:t>
            </w:r>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一级指标</w:t>
            </w:r>
          </w:p>
        </w:tc>
        <w:tc>
          <w:tcPr>
            <w:tcW w:w="101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25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三级指标</w:t>
            </w:r>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分值</w:t>
            </w:r>
          </w:p>
        </w:tc>
        <w:tc>
          <w:tcPr>
            <w:tcW w:w="3589"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年度指标值(A)  </w:t>
            </w:r>
          </w:p>
        </w:tc>
        <w:tc>
          <w:tcPr>
            <w:tcW w:w="337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全年实际值(B) </w:t>
            </w:r>
          </w:p>
        </w:tc>
        <w:tc>
          <w:tcPr>
            <w:tcW w:w="10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得分</w:t>
            </w:r>
          </w:p>
        </w:tc>
        <w:tc>
          <w:tcPr>
            <w:tcW w:w="3265" w:type="dxa"/>
            <w:gridSpan w:val="2"/>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未完成原因分析</w:t>
            </w: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出</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                                                                                                                         (50分)</w:t>
            </w:r>
          </w:p>
        </w:tc>
        <w:tc>
          <w:tcPr>
            <w:tcW w:w="1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年鉴出版数量</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58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出版500本</w:t>
            </w:r>
          </w:p>
        </w:tc>
        <w:tc>
          <w:tcPr>
            <w:tcW w:w="337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出版500本</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265" w:type="dxa"/>
            <w:gridSpan w:val="2"/>
            <w:vMerge w:val="restar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continue"/>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内容为县内上一年度政治经济社会发展情况，印刷上符合出版规范。</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58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印刷合格率100%</w:t>
            </w:r>
          </w:p>
        </w:tc>
        <w:tc>
          <w:tcPr>
            <w:tcW w:w="337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印刷合格率100%</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265"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完成编辑出版。</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58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次年1月底前完成</w:t>
            </w:r>
          </w:p>
        </w:tc>
        <w:tc>
          <w:tcPr>
            <w:tcW w:w="337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次年1月底前完成</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3265"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项目资金实施。</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58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成本控制15万以内</w:t>
            </w:r>
          </w:p>
        </w:tc>
        <w:tc>
          <w:tcPr>
            <w:tcW w:w="337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成本控制15万以内</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265"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                                                                                                                           (30分)</w:t>
            </w:r>
          </w:p>
        </w:tc>
        <w:tc>
          <w:tcPr>
            <w:tcW w:w="1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记录鹿寨县2019年政治、社会、经济、文化等各行各业发展情况。</w:t>
            </w: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358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内容真实、准确、完整。</w:t>
            </w:r>
          </w:p>
        </w:tc>
        <w:tc>
          <w:tcPr>
            <w:tcW w:w="337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内容真实、准确、完整。</w:t>
            </w: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3265"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生态效益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可持续影响指标</w:t>
            </w:r>
          </w:p>
        </w:tc>
        <w:tc>
          <w:tcPr>
            <w:tcW w:w="25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1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5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满意度指标（10分）</w:t>
            </w:r>
          </w:p>
        </w:tc>
        <w:tc>
          <w:tcPr>
            <w:tcW w:w="101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服务对象满意度指标</w:t>
            </w:r>
          </w:p>
        </w:tc>
        <w:tc>
          <w:tcPr>
            <w:tcW w:w="2592"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各单位对年鉴使用的满意度</w:t>
            </w:r>
          </w:p>
        </w:tc>
        <w:tc>
          <w:tcPr>
            <w:tcW w:w="689"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589"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&gt;=100%</w:t>
            </w:r>
          </w:p>
        </w:tc>
        <w:tc>
          <w:tcPr>
            <w:tcW w:w="3374"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1080"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3265" w:type="dxa"/>
            <w:gridSpan w:val="2"/>
            <w:vMerge w:val="restart"/>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592"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89"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4"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5" w:type="dxa"/>
            <w:gridSpan w:val="2"/>
            <w:vMerge w:val="continue"/>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总  分</w:t>
            </w:r>
          </w:p>
        </w:tc>
        <w:tc>
          <w:tcPr>
            <w:tcW w:w="11324" w:type="dxa"/>
            <w:gridSpan w:val="5"/>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3265"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总分=项目资金执行情况得分(C)+产出指标得分合计+效益指标得分合计+满意度指标得分合计。</w:t>
            </w:r>
          </w:p>
        </w:tc>
      </w:tr>
      <w:tr>
        <w:tblPrEx>
          <w:tblLayout w:type="fixed"/>
          <w:tblCellMar>
            <w:top w:w="0" w:type="dxa"/>
            <w:left w:w="0" w:type="dxa"/>
            <w:bottom w:w="0" w:type="dxa"/>
            <w:right w:w="0" w:type="dxa"/>
          </w:tblCellMar>
        </w:tblPrEx>
        <w:trPr>
          <w:trHeight w:val="285" w:hRule="atLeast"/>
        </w:trPr>
        <w:tc>
          <w:tcPr>
            <w:tcW w:w="972" w:type="dxa"/>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265" w:type="dxa"/>
            <w:gridSpan w:val="4"/>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填报人：罗泽胤</w:t>
            </w:r>
          </w:p>
        </w:tc>
        <w:tc>
          <w:tcPr>
            <w:tcW w:w="8043" w:type="dxa"/>
            <w:gridSpan w:val="3"/>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联系电话：6812683</w:t>
            </w:r>
          </w:p>
        </w:tc>
        <w:tc>
          <w:tcPr>
            <w:tcW w:w="1538"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27"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8" w:hRule="atLeast"/>
        </w:trPr>
        <w:tc>
          <w:tcPr>
            <w:tcW w:w="17545" w:type="dxa"/>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6"/>
                <w:bdr w:val="none" w:color="auto" w:sz="0" w:space="0"/>
                <w:lang w:val="en-US" w:eastAsia="zh-CN" w:bidi="ar"/>
              </w:rPr>
              <w:t>注：1</w:t>
            </w:r>
            <w:r>
              <w:rPr>
                <w:rStyle w:val="8"/>
                <w:bdr w:val="none" w:color="auto" w:sz="0" w:space="0"/>
                <w:lang w:val="en-US" w:eastAsia="zh-CN" w:bidi="ar"/>
              </w:rPr>
              <w:t>.得分一档最高不能超过该指标分值上限；</w:t>
            </w:r>
          </w:p>
        </w:tc>
      </w:tr>
      <w:tr>
        <w:tblPrEx>
          <w:tblLayout w:type="fixed"/>
          <w:tblCellMar>
            <w:top w:w="0" w:type="dxa"/>
            <w:left w:w="0" w:type="dxa"/>
            <w:bottom w:w="0" w:type="dxa"/>
            <w:right w:w="0" w:type="dxa"/>
          </w:tblCellMar>
        </w:tblPrEx>
        <w:trPr>
          <w:trHeight w:val="680" w:hRule="atLeast"/>
        </w:trPr>
        <w:tc>
          <w:tcPr>
            <w:tcW w:w="17545" w:type="dxa"/>
            <w:gridSpan w:val="10"/>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Layout w:type="fixed"/>
          <w:tblCellMar>
            <w:top w:w="0" w:type="dxa"/>
            <w:left w:w="0" w:type="dxa"/>
            <w:bottom w:w="0" w:type="dxa"/>
            <w:right w:w="0" w:type="dxa"/>
          </w:tblCellMar>
        </w:tblPrEx>
        <w:trPr>
          <w:trHeight w:val="288" w:hRule="atLeast"/>
        </w:trPr>
        <w:tc>
          <w:tcPr>
            <w:tcW w:w="17545" w:type="dxa"/>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3.请在“未完成原因分析”中说明偏离目标、不能完成目标的原因及拟采取的措施。若内容过多可以另附说明。</w:t>
            </w:r>
          </w:p>
        </w:tc>
      </w:tr>
    </w:tbl>
    <w:p>
      <w:pPr>
        <w:spacing w:beforeLines="0" w:afterLines="0" w:line="580" w:lineRule="exact"/>
        <w:ind w:firstLine="645"/>
        <w:rPr>
          <w:rFonts w:hint="eastAsia" w:ascii="仿宋_GB2312" w:eastAsia="仿宋_GB2312"/>
          <w:b/>
          <w:sz w:val="32"/>
          <w:szCs w:val="32"/>
          <w:u w:val="none"/>
        </w:rPr>
        <w:sectPr>
          <w:pgSz w:w="23811" w:h="16838" w:orient="landscape"/>
          <w:pgMar w:top="1797" w:right="1440" w:bottom="1797" w:left="1440" w:header="851" w:footer="992" w:gutter="0"/>
          <w:paperSrc/>
          <w:lnNumType w:countBy="0" w:distance="360"/>
          <w:pgNumType w:fmt="numberInDash"/>
          <w:cols w:space="0" w:num="1"/>
          <w:rtlGutter w:val="0"/>
          <w:docGrid w:type="lines" w:linePitch="312" w:charSpace="0"/>
        </w:sectPr>
      </w:pPr>
      <w:bookmarkStart w:id="0" w:name="_GoBack"/>
      <w:bookmarkEnd w:id="0"/>
    </w:p>
    <w:p>
      <w:pPr>
        <w:spacing w:beforeLines="0" w:afterLines="0" w:line="580" w:lineRule="exact"/>
        <w:ind w:firstLine="645"/>
        <w:rPr>
          <w:rFonts w:hint="eastAsia" w:ascii="仿宋_GB2312" w:eastAsia="仿宋_GB2312"/>
          <w:b/>
          <w:sz w:val="32"/>
          <w:szCs w:val="32"/>
          <w:u w:val="none"/>
        </w:rPr>
      </w:pPr>
      <w:r>
        <w:rPr>
          <w:rFonts w:hint="eastAsia" w:ascii="仿宋_GB2312" w:eastAsia="仿宋_GB2312"/>
          <w:b/>
          <w:sz w:val="32"/>
          <w:szCs w:val="32"/>
          <w:u w:val="none"/>
        </w:rPr>
        <w:t>第四部分：名词解释</w:t>
      </w:r>
    </w:p>
    <w:p>
      <w:pPr>
        <w:spacing w:beforeLines="0" w:afterLines="0"/>
        <w:ind w:firstLine="640"/>
        <w:rPr>
          <w:rFonts w:hint="eastAsia" w:ascii="仿宋_GB2312" w:eastAsia="仿宋_GB2312"/>
          <w:sz w:val="32"/>
          <w:szCs w:val="32"/>
          <w:u w:val="none"/>
        </w:rPr>
      </w:pPr>
      <w:r>
        <w:rPr>
          <w:rFonts w:hint="eastAsia" w:ascii="仿宋_GB2312" w:eastAsia="仿宋_GB2312"/>
          <w:sz w:val="32"/>
          <w:szCs w:val="32"/>
          <w:u w:val="none"/>
        </w:rPr>
        <w:t xml:space="preserve">一、财政拨款收入：指柳州市财政部门当年拨付的资金。 </w:t>
      </w:r>
    </w:p>
    <w:p>
      <w:pPr>
        <w:spacing w:beforeLines="0" w:afterLines="0"/>
        <w:ind w:firstLine="640" w:firstLineChars="200"/>
        <w:rPr>
          <w:rFonts w:hint="eastAsia" w:ascii="仿宋_GB2312" w:eastAsia="仿宋_GB2312"/>
          <w:sz w:val="32"/>
          <w:szCs w:val="32"/>
          <w:u w:val="none"/>
        </w:rPr>
      </w:pPr>
      <w:r>
        <w:rPr>
          <w:rFonts w:hint="eastAsia" w:ascii="仿宋_GB2312" w:eastAsia="仿宋_GB2312"/>
          <w:sz w:val="32"/>
          <w:szCs w:val="32"/>
          <w:u w:val="none"/>
        </w:rPr>
        <w:t>二、事业收入：指事业单位开展专业业务活动及辅助活动所取得的收入。</w:t>
      </w:r>
    </w:p>
    <w:p>
      <w:pPr>
        <w:spacing w:beforeLines="0" w:afterLines="0"/>
        <w:ind w:firstLine="640" w:firstLineChars="200"/>
        <w:rPr>
          <w:rFonts w:hint="eastAsia" w:ascii="仿宋_GB2312" w:eastAsia="仿宋_GB2312"/>
          <w:sz w:val="32"/>
          <w:szCs w:val="32"/>
          <w:u w:val="none"/>
        </w:rPr>
      </w:pPr>
      <w:r>
        <w:rPr>
          <w:rFonts w:hint="eastAsia" w:ascii="仿宋_GB2312" w:eastAsia="仿宋_GB2312"/>
          <w:sz w:val="32"/>
          <w:szCs w:val="32"/>
          <w:u w:val="none"/>
        </w:rPr>
        <w:t>三、经营收入：指事业单位在专业业务活动及其辅助活动之外开展非独立核算经营活动取得的收入。</w:t>
      </w:r>
    </w:p>
    <w:p>
      <w:pPr>
        <w:spacing w:beforeLines="0" w:afterLines="0"/>
        <w:ind w:firstLine="640"/>
        <w:rPr>
          <w:rFonts w:hint="eastAsia" w:ascii="仿宋_GB2312" w:eastAsia="仿宋_GB2312"/>
          <w:sz w:val="32"/>
          <w:szCs w:val="32"/>
          <w:u w:val="none"/>
        </w:rPr>
      </w:pPr>
      <w:r>
        <w:rPr>
          <w:rFonts w:hint="eastAsia" w:ascii="仿宋_GB2312" w:eastAsia="仿宋_GB2312"/>
          <w:sz w:val="32"/>
          <w:szCs w:val="32"/>
          <w:u w:val="none"/>
        </w:rPr>
        <w:t>四、其他收入：指除上述“财政拨款收入”“事业收入”“经营收入”等以外的收入。</w:t>
      </w:r>
    </w:p>
    <w:p>
      <w:pPr>
        <w:spacing w:beforeLines="0" w:afterLines="0"/>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五、用事业基金弥补收支差额指事业单位在当年的“财政拨款收入”“事业收入”“经营收入”“其他收入”不足以安排当年支出的情况下，使用非财政拨款结余弥补本年度收支缺口的资金。 </w:t>
      </w:r>
    </w:p>
    <w:p>
      <w:pPr>
        <w:spacing w:beforeLines="0" w:afterLines="0"/>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六、年初结转和结余：指以前年度尚未完成、结转到本年 按有关规定继续使用的资金。 </w:t>
      </w:r>
    </w:p>
    <w:p>
      <w:pPr>
        <w:spacing w:beforeLines="0" w:afterLines="0"/>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七、结余分配：指事业单位按规定提取的职工福利基金、事业基金和缴纳的所得税，以及建设单位按规定应交回的基本建设竣工项目结余资金。 </w:t>
      </w:r>
    </w:p>
    <w:p>
      <w:pPr>
        <w:spacing w:beforeLines="0" w:afterLines="0"/>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八、年末结转和结余：指本年度或以前年度预算安排、因客观条件发生变化无法按原计划实施，需要延迟到以后年度按有关规定继续使用的资金。 </w:t>
      </w:r>
    </w:p>
    <w:p>
      <w:pPr>
        <w:spacing w:beforeLines="0" w:afterLines="0"/>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九、基本支出：指为保障机构正常运转、完成日常工作任务而发生的人员支出和公用支出。 </w:t>
      </w:r>
    </w:p>
    <w:p>
      <w:pPr>
        <w:spacing w:beforeLines="0" w:afterLines="0"/>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十、项目支出：指在基本支出之外为完成特定行政任务和事业发展目标所发生的支出。 </w:t>
      </w:r>
    </w:p>
    <w:p>
      <w:pPr>
        <w:spacing w:beforeLines="0" w:afterLines="0"/>
        <w:ind w:firstLine="640"/>
        <w:rPr>
          <w:rFonts w:hint="eastAsia" w:ascii="仿宋_GB2312" w:eastAsia="仿宋_GB2312"/>
          <w:sz w:val="32"/>
          <w:szCs w:val="32"/>
          <w:u w:val="none"/>
        </w:rPr>
      </w:pPr>
      <w:r>
        <w:rPr>
          <w:rFonts w:hint="eastAsia" w:ascii="仿宋_GB2312" w:eastAsia="仿宋_GB2312"/>
          <w:sz w:val="32"/>
          <w:szCs w:val="32"/>
          <w:u w:val="none"/>
        </w:rPr>
        <w:t>十一、经营支出：指事业单位在专业业务活动及其辅助活动之外开展非独立核算经营活动发生的支出。</w:t>
      </w:r>
    </w:p>
    <w:p>
      <w:pPr>
        <w:spacing w:beforeLines="0" w:afterLines="0"/>
        <w:ind w:firstLine="640" w:firstLineChars="200"/>
        <w:rPr>
          <w:rFonts w:hint="eastAsia" w:ascii="仿宋_GB2312" w:eastAsia="仿宋_GB2312"/>
          <w:sz w:val="32"/>
          <w:szCs w:val="32"/>
          <w:u w:val="none"/>
        </w:rPr>
      </w:pPr>
      <w:r>
        <w:rPr>
          <w:rFonts w:hint="eastAsia" w:ascii="仿宋_GB2312" w:eastAsia="仿宋_GB2312"/>
          <w:sz w:val="32"/>
          <w:szCs w:val="32"/>
          <w:u w:val="none"/>
        </w:rPr>
        <w:t xml:space="preserve">十二、“三公”经费：纳入柳州市财政预决算管理的“三公”经费，是指柳州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beforeLines="0" w:afterLines="0"/>
        <w:ind w:firstLine="640" w:firstLineChars="200"/>
        <w:rPr>
          <w:rFonts w:hint="eastAsia" w:ascii="仿宋_GB2312" w:eastAsia="仿宋_GB2312"/>
          <w:sz w:val="32"/>
          <w:szCs w:val="32"/>
          <w:u w:val="none"/>
        </w:rPr>
      </w:pPr>
      <w:r>
        <w:rPr>
          <w:rFonts w:hint="eastAsia" w:ascii="仿宋_GB2312" w:eastAsia="仿宋_GB2312"/>
          <w:sz w:val="32"/>
          <w:szCs w:val="32"/>
          <w:u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ind w:firstLine="640" w:firstLineChars="200"/>
        <w:rPr>
          <w:rFonts w:hint="default" w:ascii="仿宋_GB2312" w:eastAsia="仿宋_GB2312" w:cs="仿宋_GB2312"/>
          <w:kern w:val="0"/>
          <w:sz w:val="32"/>
          <w:szCs w:val="32"/>
          <w:u w:val="none"/>
          <w:lang w:val="en-US" w:eastAsia="zh-CN"/>
        </w:rPr>
      </w:pPr>
      <w:r>
        <w:rPr>
          <w:rFonts w:hint="eastAsia" w:ascii="仿宋_GB2312" w:eastAsia="仿宋_GB2312" w:cs="仿宋_GB2312"/>
          <w:kern w:val="0"/>
          <w:sz w:val="32"/>
          <w:szCs w:val="32"/>
          <w:u w:val="none"/>
          <w:lang w:val="en-US" w:eastAsia="zh-CN"/>
        </w:rPr>
        <w:t>十四、</w:t>
      </w:r>
      <w:r>
        <w:rPr>
          <w:rFonts w:hint="eastAsia" w:ascii="仿宋_GB2312" w:eastAsia="仿宋_GB2312"/>
          <w:sz w:val="32"/>
          <w:szCs w:val="32"/>
          <w:lang w:val="en-US" w:eastAsia="zh-CN"/>
        </w:rPr>
        <w:t>《鹿寨年鉴》：地方综合年鉴，是指系统记述本行政区域自然、政治、经济、文化、社会等方面情况的年度资料性文献。县级以上地方人民政府应当加强对本行政区域地方志工作的领导。地方志工作所需经费列入本级财政预算。</w:t>
      </w:r>
    </w:p>
    <w:p>
      <w:pPr>
        <w:rPr>
          <w:u w:val="none"/>
        </w:rPr>
      </w:pPr>
    </w:p>
    <w:sectPr>
      <w:pgSz w:w="11906" w:h="16838"/>
      <w:pgMar w:top="1440" w:right="1797" w:bottom="1440" w:left="1797" w:header="851" w:footer="992"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spacing w:beforeLines="0" w:afterLines="0"/>
      <w:rPr>
        <w:rStyle w:val="5"/>
        <w:rFonts w:hint="default"/>
        <w:sz w:val="30"/>
        <w:szCs w:val="18"/>
      </w:rPr>
    </w:pPr>
    <w:r>
      <w:rPr>
        <w:rStyle w:val="5"/>
        <w:rFonts w:hint="default"/>
        <w:sz w:val="30"/>
        <w:szCs w:val="18"/>
      </w:rPr>
      <w:fldChar w:fldCharType="begin"/>
    </w:r>
    <w:r>
      <w:rPr>
        <w:rStyle w:val="5"/>
        <w:rFonts w:hint="default"/>
        <w:sz w:val="30"/>
        <w:szCs w:val="18"/>
      </w:rPr>
      <w:instrText xml:space="preserve">PAGE  </w:instrText>
    </w:r>
    <w:r>
      <w:rPr>
        <w:rStyle w:val="5"/>
        <w:rFonts w:hint="default"/>
        <w:sz w:val="30"/>
        <w:szCs w:val="18"/>
      </w:rPr>
      <w:fldChar w:fldCharType="separate"/>
    </w:r>
    <w:r>
      <w:rPr>
        <w:rStyle w:val="5"/>
        <w:rFonts w:hint="default"/>
        <w:sz w:val="30"/>
        <w:szCs w:val="18"/>
      </w:rPr>
      <w:t>- 13 -</w:t>
    </w:r>
    <w:r>
      <w:rPr>
        <w:rStyle w:val="5"/>
        <w:rFonts w:hint="default"/>
        <w:sz w:val="30"/>
        <w:szCs w:val="18"/>
      </w:rPr>
      <w:fldChar w:fldCharType="end"/>
    </w:r>
  </w:p>
  <w:p>
    <w:pPr>
      <w:pStyle w:val="2"/>
      <w:spacing w:beforeLines="0" w:afterLines="0"/>
      <w:rPr>
        <w:rFonts w:hint="default"/>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ind w:firstLine="640"/>
      <w:rPr>
        <w:rFonts w:hint="default"/>
        <w:sz w:val="21"/>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OTc0YzY2OWEyYjgzMDNlZTcxODBjN2U5YmMxNDEifQ=="/>
  </w:docVars>
  <w:rsids>
    <w:rsidRoot w:val="00172A27"/>
    <w:rsid w:val="01326529"/>
    <w:rsid w:val="0B431291"/>
    <w:rsid w:val="0B9F1045"/>
    <w:rsid w:val="27A95C64"/>
    <w:rsid w:val="41E6395F"/>
    <w:rsid w:val="53C21BDB"/>
    <w:rsid w:val="67F43AF0"/>
    <w:rsid w:val="77EB1196"/>
    <w:rsid w:val="7FDC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character" w:styleId="5">
    <w:name w:val="page number"/>
    <w:basedOn w:val="4"/>
    <w:unhideWhenUsed/>
    <w:qFormat/>
    <w:uiPriority w:val="0"/>
    <w:rPr>
      <w:rFonts w:hint="default"/>
      <w:sz w:val="24"/>
      <w:szCs w:val="24"/>
    </w:rPr>
  </w:style>
  <w:style w:type="character" w:customStyle="1" w:styleId="6">
    <w:name w:val="font41"/>
    <w:basedOn w:val="4"/>
    <w:uiPriority w:val="0"/>
    <w:rPr>
      <w:rFonts w:hint="eastAsia" w:ascii="宋体" w:hAnsi="宋体" w:eastAsia="宋体" w:cs="宋体"/>
      <w:color w:val="000000"/>
      <w:sz w:val="20"/>
      <w:szCs w:val="20"/>
      <w:u w:val="none"/>
    </w:rPr>
  </w:style>
  <w:style w:type="character" w:customStyle="1" w:styleId="7">
    <w:name w:val="font151"/>
    <w:basedOn w:val="4"/>
    <w:uiPriority w:val="0"/>
    <w:rPr>
      <w:rFonts w:hint="eastAsia" w:ascii="宋体" w:hAnsi="宋体" w:eastAsia="宋体" w:cs="宋体"/>
      <w:color w:val="000000"/>
      <w:sz w:val="20"/>
      <w:szCs w:val="20"/>
      <w:u w:val="none"/>
    </w:rPr>
  </w:style>
  <w:style w:type="character" w:customStyle="1" w:styleId="8">
    <w:name w:val="font13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3385</Words>
  <Characters>3735</Characters>
  <Lines>0</Lines>
  <Paragraphs>0</Paragraphs>
  <TotalTime>3</TotalTime>
  <ScaleCrop>false</ScaleCrop>
  <LinksUpToDate>false</LinksUpToDate>
  <CharactersWithSpaces>3809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2022-09-21T08:41:00Z</dcterms:created>
  <dc:creator>侧耳倾听</dc:creator>
  <cp:lastModifiedBy>郭玲&gt;</cp:lastModifiedBy>
  <dcterms:modified xsi:type="dcterms:W3CDTF">2022-09-29T03:59:16Z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8EF6837426674B56A0208F209780A588</vt:lpwstr>
  </property>
</Properties>
</file>