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lang w:val="en-US" w:eastAsia="zh-CN"/>
        </w:rPr>
        <w:t>鹿寨县平山镇</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第一部分：鹿寨县平山镇概况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鹿寨县平山镇</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鹿寨县平山镇</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第一部分：鹿寨县平山镇概况</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0"/>
        </w:numPr>
        <w:spacing w:line="580"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主要负责工作：</w:t>
      </w:r>
      <w:r>
        <w:rPr>
          <w:rFonts w:hint="eastAsia" w:ascii="仿宋_GB2312" w:hAnsi="宋体" w:eastAsia="仿宋_GB2312" w:cs="宋体"/>
          <w:color w:val="000000"/>
          <w:kern w:val="0"/>
          <w:sz w:val="30"/>
          <w:szCs w:val="30"/>
        </w:rPr>
        <w:t>贯彻执行上级的各项方针政策，加强综合治理，维护社会稳定，妥善处理突发性、群体性事件，调节和处理好各种利益矛盾和纠分，根据乡村社会的需要，组织制定本乡镇产业发展规划，指导产业结构调整，形成地域产业特色。织营造良好的投资环境，包括政策环境、硬件环境、社会环境，加大招商引资力度。指导农村生产，提高农村生产组织化程度，及义务教育，计划生育，积极发展农村卫生事业</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加强社会管理。按规定权限管理或协助上级政府部门管理本行政区域内的民政、劳动保障、安全生产、文化、卫生、人口与计划生育、耕地保护、环境保护、村镇规划建设管理等行政工作。搞好公共服务。按规定权限负责或协助上级政府部门抓好农田水利、乡村道路、广播电视、供水、供电等基础设施建设与管理，改善农村生产生活条件。促进稳定和谐。做好农村扶贫开发、五保户供养、农村贫困人口救助工作。积极创造条件，配合上级政府建立并落实与当地经济发展水平相适应的农村社会救助和社会保障体系，推进农村养老保险、新型农村合作医疗、医疗救助、社会救助、失地农民保障等制度。</w:t>
      </w:r>
    </w:p>
    <w:p>
      <w:pPr>
        <w:ind w:firstLine="0"/>
        <w:rPr>
          <w:rFonts w:ascii="仿宋_GB2312" w:eastAsia="仿宋_GB2312"/>
          <w:sz w:val="32"/>
          <w:szCs w:val="32"/>
        </w:rPr>
      </w:pP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6"/>
        <w:rPr>
          <w:rFonts w:hint="eastAsia" w:ascii="仿宋_GB2312" w:eastAsia="仿宋_GB2312"/>
          <w:sz w:val="32"/>
          <w:szCs w:val="32"/>
        </w:rPr>
      </w:pPr>
      <w:r>
        <w:rPr>
          <w:rFonts w:hint="eastAsia" w:ascii="仿宋_GB2312" w:eastAsia="仿宋_GB2312"/>
          <w:sz w:val="32"/>
          <w:szCs w:val="32"/>
        </w:rPr>
        <w:t>1.鹿寨县平山镇人民政府</w:t>
      </w:r>
    </w:p>
    <w:p>
      <w:pPr>
        <w:ind w:firstLine="646"/>
        <w:rPr>
          <w:rFonts w:hint="eastAsia" w:ascii="仿宋_GB2312" w:eastAsia="仿宋_GB2312"/>
          <w:sz w:val="32"/>
          <w:szCs w:val="32"/>
        </w:rPr>
      </w:pPr>
      <w:r>
        <w:rPr>
          <w:rFonts w:hint="eastAsia" w:ascii="仿宋_GB2312" w:eastAsia="仿宋_GB2312"/>
          <w:sz w:val="32"/>
          <w:szCs w:val="32"/>
        </w:rPr>
        <w:t>2.鹿寨县平山镇财政所</w:t>
      </w:r>
    </w:p>
    <w:p>
      <w:pPr>
        <w:ind w:firstLine="646"/>
        <w:rPr>
          <w:rFonts w:hint="eastAsia" w:ascii="仿宋_GB2312" w:eastAsia="仿宋_GB2312"/>
          <w:sz w:val="32"/>
          <w:szCs w:val="32"/>
        </w:rPr>
      </w:pPr>
      <w:r>
        <w:rPr>
          <w:rFonts w:hint="eastAsia" w:ascii="仿宋_GB2312" w:eastAsia="仿宋_GB2312"/>
          <w:sz w:val="32"/>
          <w:szCs w:val="32"/>
        </w:rPr>
        <w:t>3.鹿寨县平山镇国土规建环保安监站</w:t>
      </w:r>
    </w:p>
    <w:p>
      <w:pPr>
        <w:ind w:firstLine="646"/>
        <w:rPr>
          <w:rFonts w:hint="eastAsia" w:ascii="仿宋_GB2312" w:eastAsia="仿宋_GB2312"/>
          <w:sz w:val="32"/>
          <w:szCs w:val="32"/>
        </w:rPr>
      </w:pPr>
      <w:r>
        <w:rPr>
          <w:rFonts w:hint="eastAsia" w:ascii="仿宋_GB2312" w:eastAsia="仿宋_GB2312"/>
          <w:sz w:val="32"/>
          <w:szCs w:val="32"/>
        </w:rPr>
        <w:t>4.鹿寨县平山镇卫生和计划生育服务所</w:t>
      </w:r>
    </w:p>
    <w:p>
      <w:pPr>
        <w:ind w:firstLine="646"/>
        <w:rPr>
          <w:rFonts w:hint="eastAsia" w:ascii="仿宋_GB2312" w:eastAsia="仿宋_GB2312"/>
          <w:sz w:val="32"/>
          <w:szCs w:val="32"/>
        </w:rPr>
      </w:pPr>
      <w:r>
        <w:rPr>
          <w:rFonts w:hint="eastAsia" w:ascii="仿宋_GB2312" w:eastAsia="仿宋_GB2312"/>
          <w:sz w:val="32"/>
          <w:szCs w:val="32"/>
        </w:rPr>
        <w:t>5.鹿寨县平山镇社会保障服务中心</w:t>
      </w:r>
    </w:p>
    <w:p>
      <w:pPr>
        <w:ind w:firstLine="646"/>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.鹿寨县平山镇水利站</w:t>
      </w:r>
    </w:p>
    <w:p>
      <w:pPr>
        <w:ind w:firstLine="646"/>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.鹿寨县平山镇文化体育和广播电视站</w:t>
      </w:r>
    </w:p>
    <w:p>
      <w:pPr>
        <w:ind w:firstLine="646"/>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.鹿寨县平山镇扶贫开发工作站</w:t>
      </w:r>
    </w:p>
    <w:p>
      <w:pPr>
        <w:ind w:firstLine="646"/>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.鹿寨县平山镇退役军人服务站</w:t>
      </w:r>
    </w:p>
    <w:p>
      <w:pPr>
        <w:ind w:firstLine="646"/>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.鹿寨县平山镇水产畜牧兽医站</w:t>
      </w:r>
    </w:p>
    <w:p>
      <w:pPr>
        <w:ind w:firstLine="646"/>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.鹿寨县平山镇农业机械化技术推广与管理站</w:t>
      </w:r>
    </w:p>
    <w:p>
      <w:pPr>
        <w:ind w:firstLine="646"/>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.鹿寨县平山镇农业技术推广站</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鹿寨县平山镇</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sz w:val="32"/>
          <w:szCs w:val="32"/>
          <w:lang w:eastAsia="zh-CN"/>
        </w:rPr>
        <w:t>。</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bookmarkStart w:id="0" w:name="_GoBack"/>
      <w:r>
        <w:rPr>
          <w:rFonts w:hint="eastAsia" w:ascii="仿宋_GB2312" w:hAnsi="黑体" w:eastAsia="仿宋_GB2312"/>
          <w:b/>
          <w:bCs/>
          <w:color w:val="000000"/>
          <w:sz w:val="32"/>
          <w:szCs w:val="32"/>
          <w:u w:val="none"/>
          <w:lang w:eastAsia="zh-CN"/>
        </w:rPr>
        <w:t>鹿寨县平山镇</w:t>
      </w:r>
      <w:bookmarkEnd w:id="0"/>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鹿寨县平山镇2021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7004.97</w:t>
      </w:r>
      <w:r>
        <w:rPr>
          <w:rFonts w:hint="eastAsia" w:ascii="仿宋_GB2312" w:eastAsia="仿宋_GB2312" w:cs="仿宋_GB2312"/>
          <w:kern w:val="0"/>
          <w:sz w:val="32"/>
          <w:szCs w:val="32"/>
        </w:rPr>
        <w:t xml:space="preserve">万元，其中本年收入6504.96万元,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534.97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8.27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6469.38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441.23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7.32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黑体" w:eastAsia="仿宋_GB2312" w:cs="仿宋_GB2312"/>
          <w:kern w:val="0"/>
          <w:sz w:val="32"/>
          <w:szCs w:val="32"/>
          <w:lang w:eastAsia="zh-CN"/>
        </w:rPr>
        <w:t>预算项目较</w:t>
      </w:r>
      <w:r>
        <w:rPr>
          <w:rFonts w:hint="eastAsia" w:ascii="仿宋_GB2312" w:hAnsi="黑体" w:eastAsia="仿宋_GB2312" w:cs="仿宋_GB2312"/>
          <w:kern w:val="0"/>
          <w:sz w:val="32"/>
          <w:szCs w:val="32"/>
          <w:lang w:val="en-US" w:eastAsia="zh-CN"/>
        </w:rPr>
        <w:t>2020年的有所</w:t>
      </w:r>
      <w:r>
        <w:rPr>
          <w:rFonts w:hint="eastAsia" w:ascii="仿宋_GB2312" w:hAnsi="黑体" w:eastAsia="仿宋_GB2312" w:cs="仿宋_GB2312"/>
          <w:kern w:val="0"/>
          <w:sz w:val="32"/>
          <w:szCs w:val="32"/>
          <w:lang w:eastAsia="zh-CN"/>
        </w:rPr>
        <w:t>增加。</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35.58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144.16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80.20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2021年度政府性基金项目减少。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 xml:space="preserve">    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500.01</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237.9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90.76</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：上年权责资金增加。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7004.97</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7004.94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534.97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8.27</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858.96</w:t>
      </w:r>
      <w:r>
        <w:rPr>
          <w:rFonts w:hint="eastAsia" w:ascii="仿宋_GB2312" w:eastAsia="仿宋_GB2312" w:cs="仿宋_GB2312"/>
          <w:kern w:val="0"/>
          <w:sz w:val="32"/>
          <w:szCs w:val="32"/>
        </w:rPr>
        <w:t>万元：主要用于一般行政管理事务</w:t>
      </w:r>
      <w:r>
        <w:rPr>
          <w:rFonts w:hint="eastAsia" w:ascii="仿宋_GB2312" w:eastAsia="仿宋_GB2312" w:cs="仿宋_GB2312"/>
          <w:kern w:val="0"/>
          <w:sz w:val="32"/>
          <w:szCs w:val="32"/>
          <w:lang w:eastAsia="zh-CN"/>
        </w:rPr>
        <w:t>及行政运行支出，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858.96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6.37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：政府机关行政运行支出增加。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.公共安全支出</w:t>
      </w:r>
      <w:r>
        <w:rPr>
          <w:rFonts w:hint="eastAsia" w:ascii="仿宋_GB2312" w:eastAsia="仿宋_GB2312"/>
          <w:kern w:val="0"/>
          <w:sz w:val="32"/>
          <w:szCs w:val="32"/>
          <w:lang w:val="en-US" w:eastAsia="zh-CN"/>
        </w:rPr>
        <w:t>1.03</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执法办案及其他安全支出，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0.53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：执法维稳支出增加。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.教育支出</w:t>
      </w:r>
      <w:r>
        <w:rPr>
          <w:rFonts w:hint="eastAsia" w:ascii="仿宋_GB2312" w:eastAsia="仿宋_GB2312"/>
          <w:kern w:val="0"/>
          <w:sz w:val="32"/>
          <w:szCs w:val="32"/>
          <w:lang w:val="en-US" w:eastAsia="zh-CN"/>
        </w:rPr>
        <w:t>5.54</w:t>
      </w:r>
      <w:r>
        <w:rPr>
          <w:rFonts w:hint="eastAsia" w:ascii="仿宋_GB2312" w:eastAsia="仿宋_GB2312" w:cs="仿宋_GB2312"/>
          <w:kern w:val="0"/>
          <w:sz w:val="32"/>
          <w:szCs w:val="32"/>
        </w:rPr>
        <w:t>万元：主要用于其他普通教育支出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.文化旅游体育与传媒支出</w:t>
      </w:r>
      <w:r>
        <w:rPr>
          <w:rFonts w:hint="eastAsia" w:ascii="仿宋_GB2312" w:eastAsia="仿宋_GB2312"/>
          <w:kern w:val="0"/>
          <w:sz w:val="32"/>
          <w:szCs w:val="32"/>
          <w:lang w:val="en-US" w:eastAsia="zh-CN"/>
        </w:rPr>
        <w:t>22.23</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文化站日常运行支出，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0.96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4.51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：文化事物支出增加。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.社会保障和就业支出</w:t>
      </w:r>
      <w:r>
        <w:rPr>
          <w:rFonts w:hint="eastAsia" w:ascii="仿宋_GB2312" w:eastAsia="仿宋_GB2312"/>
          <w:kern w:val="0"/>
          <w:sz w:val="32"/>
          <w:szCs w:val="32"/>
          <w:lang w:val="en-US" w:eastAsia="zh-CN"/>
        </w:rPr>
        <w:t>398.01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社保中心日常运行支出及平山镇社保缴费支出，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91.2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29.73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：社保基数变化。</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.卫生健康支出</w:t>
      </w:r>
      <w:r>
        <w:rPr>
          <w:rFonts w:hint="eastAsia" w:ascii="仿宋_GB2312" w:eastAsia="仿宋_GB2312"/>
          <w:kern w:val="0"/>
          <w:sz w:val="32"/>
          <w:szCs w:val="32"/>
          <w:lang w:val="en-US" w:eastAsia="zh-CN"/>
        </w:rPr>
        <w:t>239.76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医疗保险支出，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22.81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10.51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：社保基数变化。</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.节能环保支出</w:t>
      </w:r>
      <w:r>
        <w:rPr>
          <w:rFonts w:hint="eastAsia" w:ascii="仿宋_GB2312" w:eastAsia="仿宋_GB2312"/>
          <w:kern w:val="0"/>
          <w:sz w:val="32"/>
          <w:szCs w:val="32"/>
          <w:lang w:val="en-US" w:eastAsia="zh-CN"/>
        </w:rPr>
        <w:t>17.71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自然生态保护支出，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12.72</w:t>
      </w:r>
      <w:r>
        <w:rPr>
          <w:rFonts w:hint="eastAsia" w:ascii="仿宋_GB2312" w:hAnsi="黑体" w:eastAsia="仿宋_GB2312" w:cs="仿宋_GB2312"/>
          <w:kern w:val="0"/>
          <w:sz w:val="32"/>
          <w:szCs w:val="32"/>
        </w:rPr>
        <w:t>万元，下</w:t>
      </w:r>
      <w:r>
        <w:rPr>
          <w:rFonts w:hint="eastAsia" w:ascii="仿宋_GB2312" w:hAnsi="黑体" w:eastAsia="仿宋_GB2312" w:cs="仿宋_GB2312"/>
          <w:kern w:val="0"/>
          <w:sz w:val="32"/>
          <w:szCs w:val="32"/>
          <w:lang w:eastAsia="zh-CN"/>
        </w:rPr>
        <w:t>降</w:t>
      </w:r>
      <w:r>
        <w:rPr>
          <w:rFonts w:hint="eastAsia" w:ascii="仿宋_GB2312" w:hAnsi="黑体" w:eastAsia="仿宋_GB2312" w:cs="仿宋_GB2312"/>
          <w:kern w:val="0"/>
          <w:sz w:val="32"/>
          <w:szCs w:val="32"/>
          <w:lang w:val="en-US" w:eastAsia="zh-CN"/>
        </w:rPr>
        <w:t>41.8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：生态保护支出减少。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.城乡社区支出</w:t>
      </w:r>
      <w:r>
        <w:rPr>
          <w:rFonts w:hint="eastAsia" w:ascii="仿宋_GB2312" w:eastAsia="仿宋_GB2312"/>
          <w:kern w:val="0"/>
          <w:sz w:val="32"/>
          <w:szCs w:val="32"/>
          <w:lang w:val="en-US" w:eastAsia="zh-CN"/>
        </w:rPr>
        <w:t>424.63</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乡村建设综合服务中心日常运行及乡镇环卫支出，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年度决算数减少  </w:t>
      </w:r>
      <w:r>
        <w:rPr>
          <w:rFonts w:hint="eastAsia" w:ascii="仿宋_GB2312" w:hAnsi="黑体" w:eastAsia="仿宋_GB2312" w:cs="仿宋_GB2312"/>
          <w:kern w:val="0"/>
          <w:sz w:val="32"/>
          <w:szCs w:val="32"/>
          <w:lang w:val="en-US" w:eastAsia="zh-CN"/>
        </w:rPr>
        <w:t>113.26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21.06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：乡镇环卫支出减少。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农林水支出</w:t>
      </w:r>
      <w:r>
        <w:rPr>
          <w:rFonts w:hint="eastAsia" w:ascii="仿宋_GB2312" w:eastAsia="仿宋_GB2312"/>
          <w:kern w:val="0"/>
          <w:sz w:val="32"/>
          <w:szCs w:val="32"/>
          <w:lang w:val="en-US" w:eastAsia="zh-CN"/>
        </w:rPr>
        <w:t>4846.11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农业发展支出，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939.12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24.04</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：涉农项目支出增加。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10</w:t>
      </w:r>
      <w:r>
        <w:rPr>
          <w:rFonts w:hint="eastAsia" w:ascii="仿宋_GB2312" w:eastAsia="仿宋_GB2312" w:cs="仿宋_GB2312"/>
          <w:kern w:val="0"/>
          <w:sz w:val="32"/>
          <w:szCs w:val="32"/>
        </w:rPr>
        <w:t>.住房保障支出</w:t>
      </w:r>
      <w:r>
        <w:rPr>
          <w:rFonts w:hint="eastAsia" w:ascii="仿宋_GB2312" w:eastAsia="仿宋_GB2312"/>
          <w:kern w:val="0"/>
          <w:sz w:val="32"/>
          <w:szCs w:val="32"/>
          <w:lang w:val="en-US" w:eastAsia="zh-CN"/>
        </w:rPr>
        <w:t>121.28</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公积金单位部分缴纳，</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68.66</w:t>
      </w:r>
      <w:r>
        <w:rPr>
          <w:rFonts w:hint="eastAsia" w:ascii="仿宋_GB2312" w:hAnsi="黑体" w:eastAsia="仿宋_GB2312" w:cs="仿宋_GB2312"/>
          <w:kern w:val="0"/>
          <w:sz w:val="32"/>
          <w:szCs w:val="32"/>
        </w:rPr>
        <w:t>万元，下</w:t>
      </w:r>
      <w:r>
        <w:rPr>
          <w:rFonts w:hint="eastAsia" w:ascii="仿宋_GB2312" w:hAnsi="黑体" w:eastAsia="仿宋_GB2312" w:cs="仿宋_GB2312"/>
          <w:kern w:val="0"/>
          <w:sz w:val="32"/>
          <w:szCs w:val="32"/>
          <w:lang w:eastAsia="zh-CN"/>
        </w:rPr>
        <w:t>降</w:t>
      </w:r>
      <w:r>
        <w:rPr>
          <w:rFonts w:hint="eastAsia" w:ascii="仿宋_GB2312" w:hAnsi="黑体" w:eastAsia="仿宋_GB2312" w:cs="仿宋_GB2312"/>
          <w:kern w:val="0"/>
          <w:sz w:val="32"/>
          <w:szCs w:val="32"/>
          <w:lang w:val="en-US" w:eastAsia="zh-CN"/>
        </w:rPr>
        <w:t>36.15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：基数调整。</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11</w:t>
      </w:r>
      <w:r>
        <w:rPr>
          <w:rFonts w:hint="eastAsia" w:ascii="仿宋_GB2312" w:eastAsia="仿宋_GB2312" w:cs="仿宋_GB2312"/>
          <w:kern w:val="0"/>
          <w:sz w:val="32"/>
          <w:szCs w:val="32"/>
        </w:rPr>
        <w:t>.灾害防治及应急管理支出</w:t>
      </w:r>
      <w:r>
        <w:rPr>
          <w:rFonts w:hint="eastAsia" w:ascii="仿宋_GB2312" w:eastAsia="仿宋_GB2312"/>
          <w:kern w:val="0"/>
          <w:sz w:val="32"/>
          <w:szCs w:val="32"/>
          <w:lang w:val="en-US" w:eastAsia="zh-CN"/>
        </w:rPr>
        <w:t>18.7</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应急支出。</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12</w:t>
      </w:r>
      <w:r>
        <w:rPr>
          <w:rFonts w:hint="eastAsia" w:ascii="仿宋_GB2312" w:eastAsia="仿宋_GB2312" w:cs="仿宋_GB2312"/>
          <w:kern w:val="0"/>
          <w:sz w:val="32"/>
          <w:szCs w:val="32"/>
        </w:rPr>
        <w:t>.其他支出</w:t>
      </w:r>
      <w:r>
        <w:rPr>
          <w:rFonts w:hint="eastAsia" w:ascii="仿宋_GB2312" w:eastAsia="仿宋_GB2312"/>
          <w:kern w:val="0"/>
          <w:sz w:val="32"/>
          <w:szCs w:val="32"/>
          <w:lang w:val="en-US" w:eastAsia="zh-CN"/>
        </w:rPr>
        <w:t>51.01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其他项目支出，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50.81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25405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：其他项目增加。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13</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14</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6,969.40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628.52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10.76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2274.41</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4194.98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2100.28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6969.39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231.83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2"/>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487.76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858.96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176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主要原因：政府运行支出增加。</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kern w:val="0"/>
          <w:sz w:val="32"/>
          <w:szCs w:val="32"/>
        </w:rPr>
        <w:t>公共安全支出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0.5</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1.03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206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原因公安安全支出增加。</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（三）</w:t>
      </w:r>
      <w:r>
        <w:rPr>
          <w:rFonts w:hint="eastAsia" w:ascii="仿宋_GB2312" w:eastAsia="仿宋_GB2312" w:cs="仿宋_GB2312"/>
          <w:kern w:val="0"/>
          <w:sz w:val="32"/>
          <w:szCs w:val="32"/>
        </w:rPr>
        <w:t>教育支出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5.54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（四）</w:t>
      </w:r>
      <w:r>
        <w:rPr>
          <w:rFonts w:hint="eastAsia" w:ascii="仿宋_GB2312" w:eastAsia="仿宋_GB2312" w:cs="仿宋_GB2312"/>
          <w:kern w:val="0"/>
          <w:sz w:val="32"/>
          <w:szCs w:val="32"/>
        </w:rPr>
        <w:t>文化旅游体育与传媒支出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17.88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22.23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原因文化项目增加。</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（五）</w:t>
      </w:r>
      <w:r>
        <w:rPr>
          <w:rFonts w:hint="eastAsia" w:ascii="仿宋_GB2312" w:eastAsia="仿宋_GB2312" w:cs="仿宋_GB2312"/>
          <w:kern w:val="0"/>
          <w:sz w:val="32"/>
          <w:szCs w:val="32"/>
        </w:rPr>
        <w:t>社会保障和就业支出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316.1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398.01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原因社保基数增加。</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（六）</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207.14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239.76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原因社保基数增加。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lang w:eastAsia="zh-CN"/>
        </w:rPr>
        <w:t>（七）</w:t>
      </w:r>
      <w:r>
        <w:rPr>
          <w:rFonts w:hint="eastAsia" w:ascii="仿宋_GB2312" w:eastAsia="仿宋_GB2312" w:cs="仿宋_GB2312"/>
          <w:kern w:val="0"/>
          <w:sz w:val="32"/>
          <w:szCs w:val="32"/>
        </w:rPr>
        <w:t>节能环保支出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17.71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（八）</w:t>
      </w:r>
      <w:r>
        <w:rPr>
          <w:rFonts w:hint="eastAsia" w:ascii="仿宋_GB2312" w:eastAsia="仿宋_GB2312" w:cs="仿宋_GB2312"/>
          <w:kern w:val="0"/>
          <w:sz w:val="32"/>
          <w:szCs w:val="32"/>
        </w:rPr>
        <w:t>城乡社区支出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280.75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389.06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139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原因城乡项目增加。</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（九）</w:t>
      </w:r>
      <w:r>
        <w:rPr>
          <w:rFonts w:hint="eastAsia" w:ascii="仿宋_GB2312" w:eastAsia="仿宋_GB2312" w:cs="仿宋_GB2312"/>
          <w:kern w:val="0"/>
          <w:sz w:val="32"/>
          <w:szCs w:val="32"/>
        </w:rPr>
        <w:t>农林水支出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682.82</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4846.11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710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原因农业项目增加。</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（十）</w:t>
      </w:r>
      <w:r>
        <w:rPr>
          <w:rFonts w:hint="eastAsia" w:ascii="仿宋_GB2312" w:eastAsia="仿宋_GB2312" w:cs="仿宋_GB2312"/>
          <w:kern w:val="0"/>
          <w:sz w:val="32"/>
          <w:szCs w:val="32"/>
        </w:rPr>
        <w:t>住房保障支出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107.33</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121.28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原因公积金基数调整。</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s="仿宋_GB2312"/>
          <w:bCs/>
          <w:kern w:val="0"/>
          <w:sz w:val="32"/>
          <w:szCs w:val="32"/>
          <w:lang w:eastAsia="zh-CN"/>
        </w:rPr>
        <w:t>（十一）</w:t>
      </w:r>
      <w:r>
        <w:rPr>
          <w:rFonts w:hint="eastAsia" w:ascii="仿宋_GB2312" w:eastAsia="仿宋_GB2312" w:cs="仿宋_GB2312"/>
          <w:kern w:val="0"/>
          <w:sz w:val="32"/>
          <w:szCs w:val="32"/>
        </w:rPr>
        <w:t>灾害防治及应急管理支出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18.7</w:t>
      </w:r>
      <w:r>
        <w:rPr>
          <w:rFonts w:hint="eastAsia" w:ascii="仿宋_GB2312" w:hAnsi="黑体"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（十二）</w:t>
      </w:r>
      <w:r>
        <w:rPr>
          <w:rFonts w:hint="eastAsia" w:ascii="仿宋_GB2312" w:eastAsia="仿宋_GB2312" w:cs="仿宋_GB2312"/>
          <w:kern w:val="0"/>
          <w:sz w:val="32"/>
          <w:szCs w:val="32"/>
        </w:rPr>
        <w:t>其他支出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51.01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    万元，支出具体情况如下：</w:t>
      </w:r>
    </w:p>
    <w:p>
      <w:pPr>
        <w:numPr>
          <w:ilvl w:val="0"/>
          <w:numId w:val="3"/>
        </w:num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1437.01</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504.48</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bCs/>
          <w:kern w:val="0"/>
          <w:sz w:val="32"/>
          <w:szCs w:val="32"/>
          <w:lang w:eastAsia="zh-CN"/>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1344.55</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四</w:t>
      </w:r>
      <w:r>
        <w:rPr>
          <w:rFonts w:hint="eastAsia" w:ascii="仿宋_GB2312" w:eastAsia="仿宋_GB2312"/>
          <w:bCs/>
          <w:kern w:val="0"/>
          <w:sz w:val="32"/>
          <w:szCs w:val="32"/>
        </w:rPr>
        <w:t>）</w:t>
      </w:r>
      <w:r>
        <w:rPr>
          <w:rFonts w:hint="eastAsia" w:ascii="仿宋_GB2312" w:eastAsia="仿宋_GB2312"/>
          <w:bCs/>
          <w:kern w:val="0"/>
          <w:sz w:val="32"/>
          <w:szCs w:val="32"/>
          <w:lang w:eastAsia="zh-CN"/>
        </w:rPr>
        <w:t>资本性</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3683.36</w:t>
      </w:r>
      <w:r>
        <w:rPr>
          <w:rFonts w:hint="eastAsia" w:ascii="仿宋_GB2312" w:eastAsia="仿宋_GB2312"/>
          <w:bCs/>
          <w:kern w:val="0"/>
          <w:sz w:val="32"/>
          <w:szCs w:val="32"/>
        </w:rPr>
        <w:t>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35.58</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144.16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80.20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35.58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35.58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农村基础设施建设支出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30.7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二</w:t>
      </w:r>
      <w:r>
        <w:rPr>
          <w:rFonts w:hint="eastAsia" w:ascii="仿宋_GB2312" w:eastAsia="仿宋_GB2312"/>
          <w:bCs/>
          <w:kern w:val="0"/>
          <w:sz w:val="32"/>
          <w:szCs w:val="32"/>
        </w:rPr>
        <w:t>）</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污水处理设施建设和运营</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4.87</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eastAsia="zh-CN"/>
        </w:rPr>
        <w:t>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lang w:val="en-US" w:eastAsia="zh-CN"/>
        </w:rPr>
        <w:t>鹿寨县平山镇2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10.49</w:t>
      </w:r>
      <w:r>
        <w:rPr>
          <w:rFonts w:hint="eastAsia" w:ascii="仿宋_GB2312" w:eastAsia="仿宋_GB2312" w:cs="仿宋_GB2312"/>
          <w:kern w:val="0"/>
          <w:sz w:val="32"/>
          <w:szCs w:val="32"/>
        </w:rPr>
        <w:t>万元，比上年减少</w:t>
      </w:r>
      <w:r>
        <w:rPr>
          <w:rFonts w:hint="eastAsia" w:ascii="仿宋_GB2312" w:eastAsia="仿宋_GB2312" w:cs="仿宋_GB2312"/>
          <w:kern w:val="0"/>
          <w:sz w:val="32"/>
          <w:szCs w:val="32"/>
          <w:lang w:val="en-US" w:eastAsia="zh-CN"/>
        </w:rPr>
        <w:t>5.23</w:t>
      </w:r>
      <w:r>
        <w:rPr>
          <w:rFonts w:hint="eastAsia" w:ascii="仿宋_GB2312" w:eastAsia="仿宋_GB2312" w:cs="仿宋_GB2312"/>
          <w:kern w:val="0"/>
          <w:sz w:val="32"/>
          <w:szCs w:val="32"/>
        </w:rPr>
        <w:t xml:space="preserve">    万元，主要原因是</w:t>
      </w:r>
      <w:r>
        <w:rPr>
          <w:rFonts w:hint="eastAsia" w:ascii="仿宋_GB2312" w:eastAsia="仿宋_GB2312" w:cs="仿宋_GB2312"/>
          <w:kern w:val="0"/>
          <w:sz w:val="32"/>
          <w:szCs w:val="32"/>
          <w:lang w:eastAsia="zh-CN"/>
        </w:rPr>
        <w:t>响应国家号召，减少三公开支</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6.21</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4.28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6.21</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6.21</w:t>
      </w:r>
      <w:r>
        <w:rPr>
          <w:rFonts w:hint="eastAsia" w:ascii="仿宋_GB2312" w:eastAsia="仿宋_GB2312" w:cs="仿宋_GB2312"/>
          <w:kern w:val="0"/>
          <w:sz w:val="32"/>
          <w:szCs w:val="32"/>
        </w:rPr>
        <w:t>万元，比上年减少</w:t>
      </w:r>
      <w:r>
        <w:rPr>
          <w:rFonts w:hint="eastAsia" w:ascii="仿宋_GB2312" w:eastAsia="仿宋_GB2312" w:cs="仿宋_GB2312"/>
          <w:kern w:val="0"/>
          <w:sz w:val="32"/>
          <w:szCs w:val="32"/>
          <w:lang w:val="en-US" w:eastAsia="zh-CN"/>
        </w:rPr>
        <w:t>3.02</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eastAsia="zh-CN"/>
        </w:rPr>
        <w:t>运行维护减少</w:t>
      </w:r>
      <w:r>
        <w:rPr>
          <w:rFonts w:hint="eastAsia" w:ascii="仿宋_GB2312" w:eastAsia="仿宋_GB2312" w:cs="仿宋_GB2312"/>
          <w:kern w:val="0"/>
          <w:sz w:val="32"/>
          <w:szCs w:val="32"/>
        </w:rPr>
        <w:t>。主要用于机要文件交换、市内因公出行以及开展  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鹿寨县</w:t>
      </w:r>
      <w:r>
        <w:rPr>
          <w:rFonts w:hint="eastAsia" w:ascii="仿宋_GB2312" w:hAnsi="黑体" w:eastAsia="仿宋_GB2312"/>
          <w:bCs/>
          <w:color w:val="000000"/>
          <w:sz w:val="32"/>
          <w:szCs w:val="32"/>
          <w:u w:val="single"/>
          <w:lang w:eastAsia="zh-CN"/>
        </w:rPr>
        <w:t>平山镇</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5</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6.21</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1.242</w:t>
      </w:r>
      <w:r>
        <w:rPr>
          <w:rFonts w:hint="eastAsia" w:ascii="仿宋_GB2312" w:hAnsi="黑体" w:eastAsia="仿宋_GB2312"/>
          <w:bCs/>
          <w:color w:val="000000"/>
          <w:sz w:val="32"/>
          <w:szCs w:val="32"/>
        </w:rPr>
        <w:t>万元</w:t>
      </w:r>
      <w:r>
        <w:rPr>
          <w:rFonts w:hint="eastAsia" w:ascii="仿宋_GB2312" w:hAnsi="黑体" w:eastAsia="仿宋_GB2312"/>
          <w:bCs/>
          <w:color w:val="00000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4.28</w:t>
      </w:r>
      <w:r>
        <w:rPr>
          <w:rFonts w:hint="eastAsia" w:ascii="仿宋_GB2312" w:eastAsia="仿宋_GB2312" w:cs="仿宋_GB2312"/>
          <w:kern w:val="0"/>
          <w:sz w:val="32"/>
          <w:szCs w:val="32"/>
        </w:rPr>
        <w:t>万元， 比上年减少</w:t>
      </w:r>
      <w:r>
        <w:rPr>
          <w:rFonts w:hint="eastAsia" w:ascii="仿宋_GB2312" w:eastAsia="仿宋_GB2312" w:cs="仿宋_GB2312"/>
          <w:kern w:val="0"/>
          <w:sz w:val="32"/>
          <w:szCs w:val="32"/>
          <w:lang w:val="en-US" w:eastAsia="zh-CN"/>
        </w:rPr>
        <w:t>2.21</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响应国家号召，减少三公开支</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156</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864</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243.98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38.65</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13.68</w:t>
      </w:r>
      <w:r>
        <w:rPr>
          <w:rFonts w:hint="eastAsia" w:ascii="仿宋_GB2312" w:eastAsia="仿宋_GB2312" w:cs="仿宋_GB2312"/>
          <w:kern w:val="0"/>
          <w:sz w:val="32"/>
          <w:szCs w:val="32"/>
        </w:rPr>
        <w:t>%。主要原因是：办公设施设备购置经费减少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、资产运行维护支出减</w:t>
      </w:r>
      <w:r>
        <w:rPr>
          <w:rFonts w:hint="eastAsia" w:ascii="仿宋_GB2312" w:eastAsia="仿宋_GB2312" w:cs="仿宋_GB2312"/>
          <w:kern w:val="0"/>
          <w:sz w:val="32"/>
          <w:szCs w:val="32"/>
          <w:lang w:eastAsia="zh-CN"/>
        </w:rPr>
        <w:t>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、信息系统运行维护支出增加减少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、落实过紧日子要求压减支出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7.02</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7.02</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val="en-US" w:eastAsia="zh-CN"/>
        </w:rPr>
        <w:t>公务用车</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绩效管理工作开展情况。</w:t>
      </w:r>
    </w:p>
    <w:p>
      <w:pPr>
        <w:autoSpaceDE w:val="0"/>
        <w:autoSpaceDN w:val="0"/>
        <w:adjustRightInd w:val="0"/>
        <w:spacing w:line="240" w:lineRule="auto"/>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w:t>
      </w: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年度一般公共预算项目支出全面开展绩效自评。其中，</w:t>
      </w:r>
      <w:r>
        <w:rPr>
          <w:rFonts w:hint="eastAsia" w:ascii="仿宋_GB2312" w:eastAsia="仿宋_GB2312" w:cs="仿宋_GB2312"/>
          <w:kern w:val="0"/>
          <w:sz w:val="32"/>
          <w:szCs w:val="32"/>
        </w:rPr>
        <w:t>自评项目1个</w:t>
      </w:r>
      <w:r>
        <w:rPr>
          <w:rFonts w:hint="eastAsia" w:ascii="仿宋_GB2312" w:eastAsia="仿宋_GB2312" w:cs="仿宋_GB2312"/>
          <w:bCs/>
          <w:kern w:val="0"/>
          <w:sz w:val="32"/>
          <w:szCs w:val="32"/>
        </w:rPr>
        <w:t>，全年财政预算资金</w:t>
      </w:r>
      <w:r>
        <w:rPr>
          <w:rFonts w:hint="eastAsia" w:ascii="仿宋_GB2312" w:eastAsia="仿宋_GB2312" w:cs="仿宋_GB2312"/>
          <w:bCs/>
          <w:kern w:val="0"/>
          <w:sz w:val="32"/>
          <w:szCs w:val="32"/>
          <w:lang w:val="en-US" w:eastAsia="zh-CN"/>
        </w:rPr>
        <w:t>2100.28</w:t>
      </w:r>
      <w:r>
        <w:rPr>
          <w:rFonts w:hint="eastAsia" w:ascii="仿宋_GB2312" w:eastAsia="仿宋_GB2312" w:cs="仿宋_GB2312"/>
          <w:bCs/>
          <w:kern w:val="0"/>
          <w:sz w:val="32"/>
          <w:szCs w:val="32"/>
        </w:rPr>
        <w:t>万元，自评覆盖率达到100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outlineLvl w:val="2"/>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_GB2312" w:eastAsia="仿宋_GB2312" w:cs="仿宋_GB2312"/>
          <w:kern w:val="0"/>
          <w:sz w:val="32"/>
          <w:szCs w:val="32"/>
        </w:rPr>
        <w:t>我部门根据年初设定的绩效目标，</w:t>
      </w:r>
      <w:r>
        <w:rPr>
          <w:rFonts w:hint="eastAsia" w:ascii="仿宋" w:hAnsi="仿宋" w:eastAsia="仿宋" w:cs="仿宋"/>
          <w:sz w:val="32"/>
          <w:szCs w:val="32"/>
        </w:rPr>
        <w:t>全年财政预算资金</w:t>
      </w:r>
      <w:r>
        <w:rPr>
          <w:rFonts w:hint="eastAsia" w:ascii="仿宋_GB2312" w:eastAsia="仿宋_GB2312" w:cs="仿宋_GB2312"/>
          <w:kern w:val="0"/>
          <w:sz w:val="32"/>
          <w:szCs w:val="32"/>
        </w:rPr>
        <w:t>项目自评得分为100分。发现的主要问题及原因：</w:t>
      </w:r>
      <w:r>
        <w:rPr>
          <w:rFonts w:hint="eastAsia" w:ascii="仿宋" w:hAnsi="仿宋" w:eastAsia="仿宋" w:cs="仿宋"/>
          <w:sz w:val="32"/>
          <w:szCs w:val="32"/>
        </w:rPr>
        <w:t>一是行政村（社区）财务人员水平参差不齐，使用资金不够规范，要加强乡镇财务人员队伍建设,县级有关部门在对乡镇财务人员调配时要将熟悉财务知识、精通业务、素质好的人员选拔到财务工作岗位上来；二是行政村的会议费开支大，普遍存在不够用的现象，建议增加预算；三是财会人员岗位变换频繁,影响了工作开展。下一步改进措施：要为财务人员自身学习,更新知识提供机会和机制,定期对财会人员进行业务培训,通过考试考核等不断提高财会人员的业务水平，要保证财务人员相对稳定,不能随意变动。绩效评价结果显示，上述项目支出绩效情况理想，达到项目申请时设定的各项绩效目标。</w:t>
      </w:r>
    </w:p>
    <w:p>
      <w:pPr>
        <w:widowControl w:val="0"/>
        <w:numPr>
          <w:ilvl w:val="0"/>
          <w:numId w:val="0"/>
        </w:numPr>
        <w:autoSpaceDE w:val="0"/>
        <w:autoSpaceDN w:val="0"/>
        <w:adjustRightInd w:val="0"/>
        <w:spacing w:line="560" w:lineRule="exact"/>
        <w:ind w:firstLine="1606" w:firstLineChars="400"/>
        <w:jc w:val="both"/>
        <w:rPr>
          <w:rFonts w:hint="eastAsia" w:ascii="宋体" w:hAnsi="宋体" w:eastAsia="宋体" w:cs="宋体"/>
          <w:b/>
          <w:i w:val="0"/>
          <w:color w:val="000000"/>
          <w:kern w:val="0"/>
          <w:sz w:val="40"/>
          <w:szCs w:val="40"/>
          <w:u w:val="none"/>
          <w:lang w:val="en-US" w:eastAsia="zh-CN" w:bidi="ar"/>
        </w:rPr>
      </w:pPr>
    </w:p>
    <w:p>
      <w:pPr>
        <w:widowControl w:val="0"/>
        <w:numPr>
          <w:ilvl w:val="0"/>
          <w:numId w:val="0"/>
        </w:numPr>
        <w:autoSpaceDE w:val="0"/>
        <w:autoSpaceDN w:val="0"/>
        <w:adjustRightInd w:val="0"/>
        <w:spacing w:line="560" w:lineRule="exact"/>
        <w:ind w:firstLine="1606" w:firstLineChars="400"/>
        <w:jc w:val="both"/>
        <w:rPr>
          <w:rFonts w:hint="eastAsia" w:ascii="仿宋_GB2312" w:eastAsia="仿宋_GB2312" w:cs="仿宋_GB2312"/>
          <w:sz w:val="32"/>
          <w:szCs w:val="32"/>
          <w:lang w:eastAsia="zh-CN"/>
        </w:rPr>
      </w:pPr>
      <w:r>
        <w:rPr>
          <w:rFonts w:hint="eastAsia" w:ascii="宋体" w:hAnsi="宋体" w:eastAsia="宋体" w:cs="宋体"/>
          <w:b/>
          <w:i w:val="0"/>
          <w:color w:val="000000"/>
          <w:kern w:val="0"/>
          <w:sz w:val="40"/>
          <w:szCs w:val="40"/>
          <w:u w:val="none"/>
          <w:lang w:val="en-US" w:eastAsia="zh-CN" w:bidi="ar"/>
        </w:rPr>
        <w:t>项目支出绩效目标及评价指标表</w:t>
      </w:r>
    </w:p>
    <w:tbl>
      <w:tblPr>
        <w:tblStyle w:val="4"/>
        <w:tblW w:w="0" w:type="auto"/>
        <w:tblInd w:w="0" w:type="dxa"/>
        <w:tblLayout w:type="fixed"/>
        <w:tblCellMar>
          <w:top w:w="0" w:type="dxa"/>
          <w:left w:w="0" w:type="dxa"/>
          <w:bottom w:w="0" w:type="dxa"/>
          <w:right w:w="0" w:type="dxa"/>
        </w:tblCellMar>
      </w:tblPr>
      <w:tblGrid>
        <w:gridCol w:w="636"/>
        <w:gridCol w:w="1019"/>
        <w:gridCol w:w="966"/>
        <w:gridCol w:w="1661"/>
        <w:gridCol w:w="2723"/>
        <w:gridCol w:w="733"/>
        <w:gridCol w:w="567"/>
      </w:tblGrid>
      <w:tr>
        <w:tblPrEx>
          <w:tblCellMar>
            <w:top w:w="0" w:type="dxa"/>
            <w:left w:w="0" w:type="dxa"/>
            <w:bottom w:w="0" w:type="dxa"/>
            <w:right w:w="0" w:type="dxa"/>
          </w:tblCellMar>
        </w:tblPrEx>
        <w:trPr>
          <w:trHeight w:val="483" w:hRule="atLeast"/>
        </w:trPr>
        <w:tc>
          <w:tcPr>
            <w:tcW w:w="8305" w:type="dxa"/>
            <w:gridSpan w:val="7"/>
            <w:tcBorders>
              <w:top w:val="nil"/>
              <w:left w:val="nil"/>
              <w:bottom w:val="nil"/>
              <w:right w:val="nil"/>
            </w:tcBorders>
            <w:noWrap w:val="0"/>
            <w:tcMar>
              <w:top w:w="15" w:type="dxa"/>
              <w:left w:w="15" w:type="dxa"/>
              <w:right w:w="15" w:type="dxa"/>
            </w:tcMar>
            <w:vAlign w:val="center"/>
          </w:tcPr>
          <w:p>
            <w:pPr>
              <w:spacing w:line="240" w:lineRule="auto"/>
              <w:jc w:val="center"/>
              <w:textAlignment w:val="center"/>
              <w:rPr>
                <w:rFonts w:ascii="宋体" w:hAnsi="宋体" w:cs="宋体"/>
                <w:b/>
                <w:sz w:val="24"/>
                <w:szCs w:val="24"/>
              </w:rPr>
            </w:pPr>
            <w:r>
              <w:rPr>
                <w:rFonts w:hint="eastAsia" w:ascii="宋体" w:hAnsi="宋体" w:cs="宋体"/>
                <w:b/>
                <w:sz w:val="24"/>
                <w:szCs w:val="24"/>
                <w:lang w:eastAsia="zh-CN"/>
              </w:rPr>
              <w:t>（20</w:t>
            </w:r>
            <w:r>
              <w:rPr>
                <w:rFonts w:hint="eastAsia" w:ascii="宋体" w:hAnsi="宋体" w:cs="宋体"/>
                <w:b/>
                <w:sz w:val="24"/>
                <w:szCs w:val="24"/>
                <w:lang w:val="en-US" w:eastAsia="zh-CN"/>
              </w:rPr>
              <w:t>21</w:t>
            </w:r>
            <w:r>
              <w:rPr>
                <w:rFonts w:hint="eastAsia" w:ascii="宋体" w:hAnsi="宋体" w:cs="宋体"/>
                <w:b/>
                <w:sz w:val="24"/>
                <w:szCs w:val="24"/>
                <w:lang w:eastAsia="zh-CN"/>
              </w:rPr>
              <w:t>年度）</w:t>
            </w:r>
          </w:p>
        </w:tc>
      </w:tr>
      <w:tr>
        <w:tblPrEx>
          <w:tblCellMar>
            <w:top w:w="0" w:type="dxa"/>
            <w:left w:w="0" w:type="dxa"/>
            <w:bottom w:w="0" w:type="dxa"/>
            <w:right w:w="0" w:type="dxa"/>
          </w:tblCellMar>
        </w:tblPrEx>
        <w:trPr>
          <w:trHeight w:val="533" w:hRule="atLeast"/>
        </w:trPr>
        <w:tc>
          <w:tcPr>
            <w:tcW w:w="4282" w:type="dxa"/>
            <w:gridSpan w:val="4"/>
            <w:tcBorders>
              <w:top w:val="nil"/>
              <w:left w:val="nil"/>
              <w:bottom w:val="nil"/>
              <w:right w:val="nil"/>
            </w:tcBorders>
            <w:noWrap w:val="0"/>
            <w:tcMar>
              <w:top w:w="15" w:type="dxa"/>
              <w:left w:w="15" w:type="dxa"/>
              <w:right w:w="15" w:type="dxa"/>
            </w:tcMar>
            <w:vAlign w:val="top"/>
          </w:tcPr>
          <w:p>
            <w:pPr>
              <w:spacing w:line="240" w:lineRule="auto"/>
              <w:jc w:val="both"/>
              <w:rPr>
                <w:rFonts w:ascii="宋体" w:hAnsi="宋体" w:cs="宋体"/>
                <w:sz w:val="20"/>
                <w:szCs w:val="20"/>
              </w:rPr>
            </w:pPr>
            <w:r>
              <w:rPr>
                <w:rFonts w:hint="eastAsia" w:ascii="宋体" w:hAnsi="宋体" w:cs="宋体"/>
                <w:sz w:val="20"/>
                <w:szCs w:val="20"/>
                <w:lang w:eastAsia="zh-CN"/>
              </w:rPr>
              <w:t>填报单位：鹿寨县平山镇人民政府</w:t>
            </w:r>
          </w:p>
        </w:tc>
        <w:tc>
          <w:tcPr>
            <w:tcW w:w="2723" w:type="dxa"/>
            <w:tcBorders>
              <w:top w:val="nil"/>
              <w:left w:val="nil"/>
              <w:bottom w:val="nil"/>
              <w:right w:val="nil"/>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733" w:type="dxa"/>
            <w:tcBorders>
              <w:top w:val="nil"/>
              <w:left w:val="nil"/>
              <w:bottom w:val="nil"/>
              <w:right w:val="nil"/>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567" w:type="dxa"/>
            <w:tcBorders>
              <w:top w:val="nil"/>
              <w:left w:val="nil"/>
              <w:bottom w:val="nil"/>
              <w:right w:val="nil"/>
            </w:tcBorders>
            <w:noWrap w:val="0"/>
            <w:tcMar>
              <w:top w:w="15" w:type="dxa"/>
              <w:left w:w="15" w:type="dxa"/>
              <w:right w:w="15" w:type="dxa"/>
            </w:tcMar>
            <w:vAlign w:val="center"/>
          </w:tcPr>
          <w:p>
            <w:pPr>
              <w:spacing w:line="240" w:lineRule="auto"/>
              <w:jc w:val="center"/>
              <w:rPr>
                <w:rFonts w:ascii="宋体" w:hAnsi="宋体" w:cs="宋体"/>
                <w:sz w:val="20"/>
                <w:szCs w:val="20"/>
              </w:rPr>
            </w:pPr>
          </w:p>
        </w:tc>
      </w:tr>
      <w:tr>
        <w:tblPrEx>
          <w:tblCellMar>
            <w:top w:w="0" w:type="dxa"/>
            <w:left w:w="0" w:type="dxa"/>
            <w:bottom w:w="0" w:type="dxa"/>
            <w:right w:w="0" w:type="dxa"/>
          </w:tblCellMar>
        </w:tblPrEx>
        <w:trPr>
          <w:trHeight w:val="3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项目名称</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全年财政预算资金</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xml:space="preserve">项目属性        新增（） 延续（√） </w:t>
            </w:r>
          </w:p>
        </w:tc>
      </w:tr>
      <w:tr>
        <w:tblPrEx>
          <w:tblCellMar>
            <w:top w:w="0" w:type="dxa"/>
            <w:left w:w="0" w:type="dxa"/>
            <w:bottom w:w="0" w:type="dxa"/>
            <w:right w:w="0" w:type="dxa"/>
          </w:tblCellMar>
        </w:tblPrEx>
        <w:trPr>
          <w:trHeight w:val="3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主管部门</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鹿寨县财政局</w:t>
            </w:r>
          </w:p>
        </w:tc>
      </w:tr>
      <w:tr>
        <w:tblPrEx>
          <w:tblCellMar>
            <w:top w:w="0" w:type="dxa"/>
            <w:left w:w="0" w:type="dxa"/>
            <w:bottom w:w="0" w:type="dxa"/>
            <w:right w:w="0" w:type="dxa"/>
          </w:tblCellMar>
        </w:tblPrEx>
        <w:trPr>
          <w:trHeight w:val="414"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项目实施单位</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鹿寨县平山镇人民政府</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项目负责人</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刘杰</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3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项目起止时间</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val="en-US" w:eastAsia="zh-CN"/>
              </w:rPr>
              <w:t xml:space="preserve">            </w:t>
            </w:r>
            <w:r>
              <w:rPr>
                <w:rFonts w:hint="eastAsia" w:ascii="宋体" w:hAnsi="宋体" w:cs="宋体"/>
                <w:sz w:val="20"/>
                <w:szCs w:val="20"/>
                <w:lang w:eastAsia="zh-CN"/>
              </w:rPr>
              <w:t>20</w:t>
            </w:r>
            <w:r>
              <w:rPr>
                <w:rFonts w:hint="eastAsia" w:ascii="宋体" w:hAnsi="宋体" w:cs="宋体"/>
                <w:sz w:val="20"/>
                <w:szCs w:val="20"/>
                <w:lang w:val="en-US" w:eastAsia="zh-CN"/>
              </w:rPr>
              <w:t>21</w:t>
            </w:r>
            <w:r>
              <w:rPr>
                <w:rFonts w:hint="eastAsia" w:ascii="宋体" w:hAnsi="宋体" w:cs="宋体"/>
                <w:sz w:val="20"/>
                <w:szCs w:val="20"/>
                <w:lang w:eastAsia="zh-CN"/>
              </w:rPr>
              <w:t>年1月1日至20</w:t>
            </w:r>
            <w:r>
              <w:rPr>
                <w:rFonts w:hint="eastAsia" w:ascii="宋体" w:hAnsi="宋体" w:cs="宋体"/>
                <w:sz w:val="20"/>
                <w:szCs w:val="20"/>
                <w:lang w:val="en-US" w:eastAsia="zh-CN"/>
              </w:rPr>
              <w:t>21</w:t>
            </w:r>
            <w:r>
              <w:rPr>
                <w:rFonts w:hint="eastAsia" w:ascii="宋体" w:hAnsi="宋体" w:cs="宋体"/>
                <w:sz w:val="20"/>
                <w:szCs w:val="20"/>
                <w:lang w:eastAsia="zh-CN"/>
              </w:rPr>
              <w:t>年12月31日</w:t>
            </w:r>
            <w:r>
              <w:rPr>
                <w:rFonts w:hint="eastAsia" w:ascii="宋体" w:hAnsi="宋体" w:cs="宋体"/>
                <w:sz w:val="20"/>
                <w:szCs w:val="20"/>
                <w:lang w:eastAsia="zh-CN"/>
              </w:rPr>
              <w:tab/>
            </w:r>
            <w:r>
              <w:rPr>
                <w:rFonts w:hint="eastAsia" w:ascii="宋体" w:hAnsi="宋体" w:cs="宋体"/>
                <w:sz w:val="20"/>
                <w:szCs w:val="20"/>
                <w:lang w:eastAsia="zh-CN"/>
              </w:rPr>
              <w:tab/>
            </w:r>
            <w:r>
              <w:rPr>
                <w:rFonts w:hint="eastAsia" w:ascii="宋体" w:hAnsi="宋体" w:cs="宋体"/>
                <w:sz w:val="20"/>
                <w:szCs w:val="20"/>
                <w:lang w:eastAsia="zh-CN"/>
              </w:rPr>
              <w:tab/>
            </w:r>
            <w:r>
              <w:rPr>
                <w:rFonts w:hint="eastAsia" w:ascii="宋体" w:hAnsi="宋体" w:cs="宋体"/>
                <w:sz w:val="20"/>
                <w:szCs w:val="20"/>
                <w:lang w:eastAsia="zh-CN"/>
              </w:rPr>
              <w:tab/>
            </w:r>
          </w:p>
        </w:tc>
      </w:tr>
      <w:tr>
        <w:tblPrEx>
          <w:tblCellMar>
            <w:top w:w="0" w:type="dxa"/>
            <w:left w:w="0" w:type="dxa"/>
            <w:bottom w:w="0" w:type="dxa"/>
            <w:right w:w="0" w:type="dxa"/>
          </w:tblCellMar>
        </w:tblPrEx>
        <w:trPr>
          <w:trHeight w:val="357" w:hRule="exact"/>
        </w:trPr>
        <w:tc>
          <w:tcPr>
            <w:tcW w:w="1655" w:type="dxa"/>
            <w:gridSpan w:val="2"/>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项目资金（万元）</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资金总额：</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default" w:ascii="宋体" w:hAnsi="宋体" w:cs="宋体"/>
                <w:sz w:val="20"/>
                <w:szCs w:val="20"/>
                <w:lang w:val="en-US"/>
              </w:rPr>
            </w:pPr>
            <w:r>
              <w:rPr>
                <w:rFonts w:hint="eastAsia" w:ascii="宋体" w:hAnsi="宋体" w:cs="宋体"/>
                <w:sz w:val="20"/>
                <w:szCs w:val="20"/>
                <w:lang w:val="en-US" w:eastAsia="zh-CN"/>
              </w:rPr>
              <w:t>2100.28</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公共财政预算拨款：</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default" w:ascii="宋体" w:hAnsi="宋体" w:cs="宋体"/>
                <w:sz w:val="20"/>
                <w:szCs w:val="20"/>
                <w:lang w:val="en-US"/>
              </w:rPr>
            </w:pPr>
            <w:r>
              <w:rPr>
                <w:rFonts w:hint="eastAsia" w:ascii="宋体" w:hAnsi="宋体" w:cs="宋体"/>
                <w:sz w:val="20"/>
                <w:szCs w:val="20"/>
                <w:lang w:val="en-US" w:eastAsia="zh-CN"/>
              </w:rPr>
              <w:t>2100.28</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政府性基金拨款：</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专户资金拨款</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其他配套资金</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996"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项目概况</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平山镇管辖</w:t>
            </w:r>
            <w:r>
              <w:rPr>
                <w:rFonts w:hint="eastAsia" w:ascii="宋体" w:hAnsi="宋体" w:cs="宋体"/>
                <w:sz w:val="20"/>
                <w:szCs w:val="20"/>
                <w:lang w:val="en-US" w:eastAsia="zh-CN"/>
              </w:rPr>
              <w:t>12</w:t>
            </w:r>
            <w:r>
              <w:rPr>
                <w:rFonts w:hint="eastAsia" w:ascii="宋体" w:hAnsi="宋体" w:cs="宋体"/>
                <w:sz w:val="20"/>
                <w:szCs w:val="20"/>
                <w:lang w:eastAsia="zh-CN"/>
              </w:rPr>
              <w:t>个行政事业单位,10个行政村，1个社区，维持各单位、各村委事务正常运行;依20</w:t>
            </w:r>
            <w:r>
              <w:rPr>
                <w:rFonts w:hint="eastAsia" w:ascii="宋体" w:hAnsi="宋体" w:cs="宋体"/>
                <w:sz w:val="20"/>
                <w:szCs w:val="20"/>
                <w:lang w:val="en-US" w:eastAsia="zh-CN"/>
              </w:rPr>
              <w:t>21</w:t>
            </w:r>
            <w:r>
              <w:rPr>
                <w:rFonts w:hint="eastAsia" w:ascii="宋体" w:hAnsi="宋体" w:cs="宋体"/>
                <w:sz w:val="20"/>
                <w:szCs w:val="20"/>
                <w:lang w:eastAsia="zh-CN"/>
              </w:rPr>
              <w:t>年预算拨付全镇2</w:t>
            </w:r>
            <w:r>
              <w:rPr>
                <w:rFonts w:hint="eastAsia" w:ascii="宋体" w:hAnsi="宋体" w:cs="宋体"/>
                <w:sz w:val="20"/>
                <w:szCs w:val="20"/>
                <w:lang w:val="en-US" w:eastAsia="zh-CN"/>
              </w:rPr>
              <w:t>021</w:t>
            </w:r>
            <w:r>
              <w:rPr>
                <w:rFonts w:hint="eastAsia" w:ascii="宋体" w:hAnsi="宋体" w:cs="宋体"/>
                <w:sz w:val="20"/>
                <w:szCs w:val="20"/>
                <w:lang w:eastAsia="zh-CN"/>
              </w:rPr>
              <w:t>年全年财政预算资金。</w:t>
            </w:r>
          </w:p>
        </w:tc>
      </w:tr>
      <w:tr>
        <w:tblPrEx>
          <w:tblCellMar>
            <w:top w:w="0" w:type="dxa"/>
            <w:left w:w="0" w:type="dxa"/>
            <w:bottom w:w="0" w:type="dxa"/>
            <w:right w:w="0" w:type="dxa"/>
          </w:tblCellMar>
        </w:tblPrEx>
        <w:trPr>
          <w:trHeight w:val="397" w:hRule="exact"/>
        </w:trPr>
        <w:tc>
          <w:tcPr>
            <w:tcW w:w="1655" w:type="dxa"/>
            <w:gridSpan w:val="2"/>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项目实施进度计划</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项目实施内容</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起止时间</w:t>
            </w:r>
          </w:p>
        </w:tc>
      </w:tr>
      <w:tr>
        <w:tblPrEx>
          <w:tblCellMar>
            <w:top w:w="0" w:type="dxa"/>
            <w:left w:w="0" w:type="dxa"/>
            <w:bottom w:w="0" w:type="dxa"/>
            <w:right w:w="0" w:type="dxa"/>
          </w:tblCellMar>
        </w:tblPrEx>
        <w:trPr>
          <w:trHeight w:val="39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农村综合改革</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cs="宋体"/>
                <w:sz w:val="20"/>
                <w:szCs w:val="20"/>
                <w:lang w:val="en-US" w:eastAsia="zh-CN"/>
              </w:rPr>
              <w:t xml:space="preserve">  </w:t>
            </w:r>
            <w:r>
              <w:rPr>
                <w:rFonts w:hint="eastAsia" w:ascii="宋体" w:hAnsi="宋体" w:cs="宋体"/>
                <w:sz w:val="20"/>
                <w:szCs w:val="20"/>
                <w:lang w:eastAsia="zh-CN"/>
              </w:rPr>
              <w:t>20</w:t>
            </w:r>
            <w:r>
              <w:rPr>
                <w:rFonts w:hint="eastAsia" w:ascii="宋体" w:hAnsi="宋体" w:cs="宋体"/>
                <w:sz w:val="20"/>
                <w:szCs w:val="20"/>
                <w:lang w:val="en-US" w:eastAsia="zh-CN"/>
              </w:rPr>
              <w:t>21</w:t>
            </w:r>
            <w:r>
              <w:rPr>
                <w:rFonts w:hint="eastAsia" w:ascii="宋体" w:hAnsi="宋体" w:cs="宋体"/>
                <w:sz w:val="20"/>
                <w:szCs w:val="20"/>
                <w:lang w:eastAsia="zh-CN"/>
              </w:rPr>
              <w:t>年1月1日至20</w:t>
            </w:r>
            <w:r>
              <w:rPr>
                <w:rFonts w:hint="eastAsia" w:ascii="宋体" w:hAnsi="宋体" w:cs="宋体"/>
                <w:sz w:val="20"/>
                <w:szCs w:val="20"/>
                <w:lang w:val="en-US" w:eastAsia="zh-CN"/>
              </w:rPr>
              <w:t>21</w:t>
            </w:r>
            <w:r>
              <w:rPr>
                <w:rFonts w:hint="eastAsia" w:ascii="宋体" w:hAnsi="宋体" w:cs="宋体"/>
                <w:sz w:val="20"/>
                <w:szCs w:val="20"/>
                <w:lang w:eastAsia="zh-CN"/>
              </w:rPr>
              <w:t>年12月31日</w:t>
            </w:r>
            <w:r>
              <w:rPr>
                <w:rFonts w:hint="eastAsia" w:ascii="宋体" w:hAnsi="宋体" w:cs="宋体"/>
                <w:sz w:val="20"/>
                <w:szCs w:val="20"/>
                <w:lang w:eastAsia="zh-CN"/>
              </w:rPr>
              <w:tab/>
            </w:r>
          </w:p>
        </w:tc>
      </w:tr>
      <w:tr>
        <w:tblPrEx>
          <w:tblCellMar>
            <w:top w:w="0" w:type="dxa"/>
            <w:left w:w="0" w:type="dxa"/>
            <w:bottom w:w="0" w:type="dxa"/>
            <w:right w:w="0" w:type="dxa"/>
          </w:tblCellMar>
        </w:tblPrEx>
        <w:trPr>
          <w:trHeight w:val="39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其他城乡社区事务支出</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cs="宋体"/>
                <w:sz w:val="20"/>
                <w:szCs w:val="20"/>
                <w:lang w:val="en-US" w:eastAsia="zh-CN"/>
              </w:rPr>
              <w:t xml:space="preserve">  </w:t>
            </w:r>
            <w:r>
              <w:rPr>
                <w:rFonts w:hint="eastAsia" w:ascii="宋体" w:hAnsi="宋体" w:cs="宋体"/>
                <w:sz w:val="20"/>
                <w:szCs w:val="20"/>
                <w:lang w:eastAsia="zh-CN"/>
              </w:rPr>
              <w:t>20</w:t>
            </w:r>
            <w:r>
              <w:rPr>
                <w:rFonts w:hint="eastAsia" w:ascii="宋体" w:hAnsi="宋体" w:cs="宋体"/>
                <w:sz w:val="20"/>
                <w:szCs w:val="20"/>
                <w:lang w:val="en-US" w:eastAsia="zh-CN"/>
              </w:rPr>
              <w:t>21</w:t>
            </w:r>
            <w:r>
              <w:rPr>
                <w:rFonts w:hint="eastAsia" w:ascii="宋体" w:hAnsi="宋体" w:cs="宋体"/>
                <w:sz w:val="20"/>
                <w:szCs w:val="20"/>
                <w:lang w:eastAsia="zh-CN"/>
              </w:rPr>
              <w:t>年1月1日至20</w:t>
            </w:r>
            <w:r>
              <w:rPr>
                <w:rFonts w:hint="eastAsia" w:ascii="宋体" w:hAnsi="宋体" w:cs="宋体"/>
                <w:sz w:val="20"/>
                <w:szCs w:val="20"/>
                <w:lang w:val="en-US" w:eastAsia="zh-CN"/>
              </w:rPr>
              <w:t>21</w:t>
            </w:r>
            <w:r>
              <w:rPr>
                <w:rFonts w:hint="eastAsia" w:ascii="宋体" w:hAnsi="宋体" w:cs="宋体"/>
                <w:sz w:val="20"/>
                <w:szCs w:val="20"/>
                <w:lang w:eastAsia="zh-CN"/>
              </w:rPr>
              <w:t>年12月31日</w:t>
            </w:r>
            <w:r>
              <w:rPr>
                <w:rFonts w:hint="eastAsia" w:ascii="宋体" w:hAnsi="宋体" w:cs="宋体"/>
                <w:sz w:val="20"/>
                <w:szCs w:val="20"/>
                <w:lang w:eastAsia="zh-CN"/>
              </w:rPr>
              <w:tab/>
            </w:r>
          </w:p>
        </w:tc>
      </w:tr>
      <w:tr>
        <w:tblPrEx>
          <w:tblCellMar>
            <w:top w:w="0" w:type="dxa"/>
            <w:left w:w="0" w:type="dxa"/>
            <w:bottom w:w="0" w:type="dxa"/>
            <w:right w:w="0" w:type="dxa"/>
          </w:tblCellMar>
        </w:tblPrEx>
        <w:trPr>
          <w:trHeight w:val="564"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计划生育事务</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cs="宋体"/>
                <w:sz w:val="20"/>
                <w:szCs w:val="20"/>
                <w:lang w:val="en-US" w:eastAsia="zh-CN"/>
              </w:rPr>
              <w:t xml:space="preserve">  </w:t>
            </w:r>
            <w:r>
              <w:rPr>
                <w:rFonts w:hint="eastAsia" w:ascii="宋体" w:hAnsi="宋体" w:cs="宋体"/>
                <w:sz w:val="20"/>
                <w:szCs w:val="20"/>
                <w:lang w:eastAsia="zh-CN"/>
              </w:rPr>
              <w:t>20</w:t>
            </w:r>
            <w:r>
              <w:rPr>
                <w:rFonts w:hint="eastAsia" w:ascii="宋体" w:hAnsi="宋体" w:cs="宋体"/>
                <w:sz w:val="20"/>
                <w:szCs w:val="20"/>
                <w:lang w:val="en-US" w:eastAsia="zh-CN"/>
              </w:rPr>
              <w:t>21</w:t>
            </w:r>
            <w:r>
              <w:rPr>
                <w:rFonts w:hint="eastAsia" w:ascii="宋体" w:hAnsi="宋体" w:cs="宋体"/>
                <w:sz w:val="20"/>
                <w:szCs w:val="20"/>
                <w:lang w:eastAsia="zh-CN"/>
              </w:rPr>
              <w:t>年1月1日至20</w:t>
            </w:r>
            <w:r>
              <w:rPr>
                <w:rFonts w:hint="eastAsia" w:ascii="宋体" w:hAnsi="宋体" w:cs="宋体"/>
                <w:sz w:val="20"/>
                <w:szCs w:val="20"/>
                <w:lang w:val="en-US" w:eastAsia="zh-CN"/>
              </w:rPr>
              <w:t>21</w:t>
            </w:r>
            <w:r>
              <w:rPr>
                <w:rFonts w:hint="eastAsia" w:ascii="宋体" w:hAnsi="宋体" w:cs="宋体"/>
                <w:sz w:val="20"/>
                <w:szCs w:val="20"/>
                <w:lang w:eastAsia="zh-CN"/>
              </w:rPr>
              <w:t>年12月31日</w:t>
            </w:r>
            <w:r>
              <w:rPr>
                <w:rFonts w:hint="eastAsia" w:ascii="宋体" w:hAnsi="宋体" w:cs="宋体"/>
                <w:sz w:val="20"/>
                <w:szCs w:val="20"/>
                <w:lang w:eastAsia="zh-CN"/>
              </w:rPr>
              <w:tab/>
            </w:r>
          </w:p>
        </w:tc>
      </w:tr>
      <w:tr>
        <w:tblPrEx>
          <w:tblCellMar>
            <w:top w:w="0" w:type="dxa"/>
            <w:left w:w="0" w:type="dxa"/>
            <w:bottom w:w="0" w:type="dxa"/>
            <w:right w:w="0" w:type="dxa"/>
          </w:tblCellMar>
        </w:tblPrEx>
        <w:trPr>
          <w:trHeight w:val="632"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cs="宋体"/>
                <w:sz w:val="20"/>
                <w:szCs w:val="20"/>
                <w:lang w:val="en-US" w:eastAsia="zh-CN"/>
              </w:rPr>
              <w:t xml:space="preserve">  </w:t>
            </w:r>
            <w:r>
              <w:rPr>
                <w:rFonts w:hint="eastAsia" w:ascii="宋体" w:hAnsi="宋体" w:cs="宋体"/>
                <w:sz w:val="20"/>
                <w:szCs w:val="20"/>
                <w:lang w:eastAsia="zh-CN"/>
              </w:rPr>
              <w:t>20</w:t>
            </w:r>
            <w:r>
              <w:rPr>
                <w:rFonts w:hint="eastAsia" w:ascii="宋体" w:hAnsi="宋体" w:cs="宋体"/>
                <w:sz w:val="20"/>
                <w:szCs w:val="20"/>
                <w:lang w:val="en-US" w:eastAsia="zh-CN"/>
              </w:rPr>
              <w:t>21</w:t>
            </w:r>
            <w:r>
              <w:rPr>
                <w:rFonts w:hint="eastAsia" w:ascii="宋体" w:hAnsi="宋体" w:cs="宋体"/>
                <w:sz w:val="20"/>
                <w:szCs w:val="20"/>
                <w:lang w:eastAsia="zh-CN"/>
              </w:rPr>
              <w:t>年1月1日至20</w:t>
            </w:r>
            <w:r>
              <w:rPr>
                <w:rFonts w:hint="eastAsia" w:ascii="宋体" w:hAnsi="宋体" w:cs="宋体"/>
                <w:sz w:val="20"/>
                <w:szCs w:val="20"/>
                <w:lang w:val="en-US" w:eastAsia="zh-CN"/>
              </w:rPr>
              <w:t>21</w:t>
            </w:r>
            <w:r>
              <w:rPr>
                <w:rFonts w:hint="eastAsia" w:ascii="宋体" w:hAnsi="宋体" w:cs="宋体"/>
                <w:sz w:val="20"/>
                <w:szCs w:val="20"/>
                <w:lang w:eastAsia="zh-CN"/>
              </w:rPr>
              <w:t>年12月31日</w:t>
            </w:r>
            <w:r>
              <w:rPr>
                <w:rFonts w:hint="eastAsia" w:ascii="宋体" w:hAnsi="宋体" w:cs="宋体"/>
                <w:sz w:val="20"/>
                <w:szCs w:val="20"/>
                <w:lang w:eastAsia="zh-CN"/>
              </w:rPr>
              <w:tab/>
            </w:r>
          </w:p>
        </w:tc>
      </w:tr>
      <w:tr>
        <w:tblPrEx>
          <w:tblCellMar>
            <w:top w:w="0" w:type="dxa"/>
            <w:left w:w="0" w:type="dxa"/>
            <w:bottom w:w="0" w:type="dxa"/>
            <w:right w:w="0" w:type="dxa"/>
          </w:tblCellMar>
        </w:tblPrEx>
        <w:trPr>
          <w:trHeight w:val="6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项目年度绩效目标</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完成全年全镇财政预算资金的拨付。</w:t>
            </w:r>
          </w:p>
        </w:tc>
      </w:tr>
      <w:tr>
        <w:tblPrEx>
          <w:tblCellMar>
            <w:top w:w="0" w:type="dxa"/>
            <w:left w:w="0" w:type="dxa"/>
            <w:bottom w:w="0" w:type="dxa"/>
            <w:right w:w="0" w:type="dxa"/>
          </w:tblCellMar>
        </w:tblPrEx>
        <w:trPr>
          <w:trHeight w:val="658" w:hRule="exact"/>
        </w:trPr>
        <w:tc>
          <w:tcPr>
            <w:tcW w:w="6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一级指标</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二级指标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三级指标</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指标解释</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评价标准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分值</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得分</w:t>
            </w:r>
          </w:p>
        </w:tc>
      </w:tr>
      <w:tr>
        <w:tblPrEx>
          <w:tblCellMar>
            <w:top w:w="0" w:type="dxa"/>
            <w:left w:w="0" w:type="dxa"/>
            <w:bottom w:w="0" w:type="dxa"/>
            <w:right w:w="0" w:type="dxa"/>
          </w:tblCellMar>
        </w:tblPrEx>
        <w:trPr>
          <w:trHeight w:val="658" w:hRule="exact"/>
        </w:trPr>
        <w:tc>
          <w:tcPr>
            <w:tcW w:w="63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投入</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目标设定</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目标的明确度</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是否将目标细化为具体的绩效指标</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细化：3分；不够细化：酌情扣分，扣完为止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956" w:hRule="exac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资金落实</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其他配套资金到位率</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其他配套资金到位率=实际到位配套资金/计划到位配套资金×100%</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到位率100%：3分；到位率90-100%：2.5分；到位率80-90%：2分；到位率70-80%：1.5分；到位率70%以下：1分；到位率70%—60%：1分；到位率60%以下：0分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014"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资金到位及时性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资金是否及时到位；若未及时到位，是否影响项目进度</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及时到位：3分；未及时到位但未影响项目进度：1-2分；未及时到位并影响项目进度：0-1分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847" w:hRule="atLeast"/>
        </w:trPr>
        <w:tc>
          <w:tcPr>
            <w:tcW w:w="63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过程</w:t>
            </w:r>
          </w:p>
        </w:tc>
        <w:tc>
          <w:tcPr>
            <w:tcW w:w="101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业务管理</w:t>
            </w:r>
          </w:p>
        </w:tc>
        <w:tc>
          <w:tcPr>
            <w:tcW w:w="96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组织管理制度健全</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是否制定本部门预算绩效评价工作实施方案</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是：4分；否：0分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760"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是否建立健全项目管理制度</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健全项目管理制度：4分；不够健全：酌情扣分，扣完为止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913"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制度执行有效性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项目合同、验收报告、技术鉴定等资料是否齐全并及时归档</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齐全并归档：4分；不够齐全或不归档：酌情扣分，扣完为止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1062"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项目质量可控性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是否采取了相应的项目质量检查、验收等必须的控制措施或手段</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采取了并有效：4分；采取了但效果不佳：2-1分；没采取：0分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878"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财务管理</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管理制度健全性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是否制定或具有相应的项目资金管理办法</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是：3；否：0分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241"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资金使用合规性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是否符合国家财经法规和财务管理制度以及有关专项资金管理办法</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支出符合国家财经法规和财政管理制度等：3分；基本符合：2分；有违反现象：0分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896"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资金的拨付是否有完整的审批程序和手续</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完整：3分；不够完整：酌情扣分；无：0分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801"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是否符合项目批复或合同规定的用途</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支出与项目批复（合同）相符，3分；基本相符：2-1分；有较多不符合现象：0分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130"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财政预算支出进度</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财政预算支出进度=实际使用财政资金金额/财政预算资金金额×100%</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财政预算支出进度95%以上：8分；每下降5%扣1分，扣完为止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8</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8</w:t>
            </w:r>
          </w:p>
        </w:tc>
      </w:tr>
      <w:tr>
        <w:tblPrEx>
          <w:tblCellMar>
            <w:top w:w="0" w:type="dxa"/>
            <w:left w:w="0" w:type="dxa"/>
            <w:bottom w:w="0" w:type="dxa"/>
            <w:right w:w="0" w:type="dxa"/>
          </w:tblCellMar>
        </w:tblPrEx>
        <w:trPr>
          <w:trHeight w:val="877" w:hRule="atLeast"/>
        </w:trPr>
        <w:tc>
          <w:tcPr>
            <w:tcW w:w="636" w:type="dxa"/>
            <w:vMerge w:val="restart"/>
            <w:tcBorders>
              <w:top w:val="nil"/>
              <w:left w:val="single" w:color="auto" w:sz="4" w:space="0"/>
              <w:bottom w:val="nil"/>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产出指标</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数量指标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明确的项目资金总数</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是否将项目总资金细化为具体的绩效指标</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细化：5分；不够细化：酌情扣分，扣完为止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1056" w:hRule="atLeast"/>
        </w:trPr>
        <w:tc>
          <w:tcPr>
            <w:tcW w:w="63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质量指标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资金正常拨付使用</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资金是否正常拨付使用</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达到目标5分，否则酌情扣分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1265" w:hRule="atLeast"/>
        </w:trPr>
        <w:tc>
          <w:tcPr>
            <w:tcW w:w="63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时效指标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上级财政资金到账后5个工作日拨付</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是否在上级财政资金到账后5个工作日拨付各单位</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5个工作日以内拨付的5分，延迟一个工作日扣一分，扣完为止。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1163" w:hRule="atLeast"/>
        </w:trPr>
        <w:tc>
          <w:tcPr>
            <w:tcW w:w="636"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　</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社会效益指标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乡各行政事业单位正常运行</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各行政事业单位及村民委是否在使用预算经费后正常运转</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正常运转的，5分，有因经费未及时拨付而不能正常运转的，一次扣1分，扣完为止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945" w:hRule="atLeast"/>
        </w:trPr>
        <w:tc>
          <w:tcPr>
            <w:tcW w:w="636"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可持续影响指标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巩固党和政府的执政基础</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党和政府的执政基础是否进一步巩固</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进一步巩固的15分，有非正常状态的扣15分。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15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15</w:t>
            </w:r>
          </w:p>
        </w:tc>
      </w:tr>
      <w:tr>
        <w:tblPrEx>
          <w:tblCellMar>
            <w:top w:w="0" w:type="dxa"/>
            <w:left w:w="0" w:type="dxa"/>
            <w:bottom w:w="0" w:type="dxa"/>
            <w:right w:w="0" w:type="dxa"/>
          </w:tblCellMar>
        </w:tblPrEx>
        <w:trPr>
          <w:trHeight w:val="912" w:hRule="atLeast"/>
        </w:trPr>
        <w:tc>
          <w:tcPr>
            <w:tcW w:w="636"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服务对象满意度</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村干部满意</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村干部是否满意</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达到目标20分，否则酌情扣分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20</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20</w:t>
            </w:r>
          </w:p>
        </w:tc>
      </w:tr>
      <w:tr>
        <w:tblPrEx>
          <w:tblCellMar>
            <w:top w:w="0" w:type="dxa"/>
            <w:left w:w="0" w:type="dxa"/>
            <w:bottom w:w="0" w:type="dxa"/>
            <w:right w:w="0" w:type="dxa"/>
          </w:tblCellMar>
        </w:tblPrEx>
        <w:trPr>
          <w:trHeight w:val="366" w:hRule="atLeast"/>
        </w:trPr>
        <w:tc>
          <w:tcPr>
            <w:tcW w:w="6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合计</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　</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b/>
                <w:sz w:val="20"/>
                <w:szCs w:val="20"/>
              </w:rPr>
            </w:pPr>
            <w:r>
              <w:rPr>
                <w:rFonts w:hint="eastAsia" w:ascii="宋体" w:hAnsi="宋体" w:cs="宋体"/>
                <w:b/>
                <w:sz w:val="20"/>
                <w:szCs w:val="20"/>
                <w:lang w:eastAsia="zh-CN"/>
              </w:rPr>
              <w:t>　</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b/>
                <w:sz w:val="20"/>
                <w:szCs w:val="20"/>
              </w:rPr>
            </w:pPr>
            <w:r>
              <w:rPr>
                <w:rFonts w:hint="eastAsia" w:ascii="宋体" w:hAnsi="宋体" w:cs="宋体"/>
                <w:b/>
                <w:sz w:val="20"/>
                <w:szCs w:val="20"/>
                <w:lang w:eastAsia="zh-CN"/>
              </w:rPr>
              <w:t>　</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b/>
                <w:sz w:val="20"/>
                <w:szCs w:val="20"/>
              </w:rPr>
            </w:pPr>
            <w:r>
              <w:rPr>
                <w:rFonts w:hint="eastAsia" w:ascii="宋体" w:hAnsi="宋体" w:cs="宋体"/>
                <w:b/>
                <w:sz w:val="20"/>
                <w:szCs w:val="20"/>
                <w:lang w:eastAsia="zh-CN"/>
              </w:rPr>
              <w:t>　</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color w:val="000000"/>
                <w:sz w:val="20"/>
                <w:szCs w:val="20"/>
              </w:rPr>
            </w:pPr>
            <w:r>
              <w:rPr>
                <w:rFonts w:hint="eastAsia" w:ascii="宋体" w:hAnsi="宋体" w:cs="宋体"/>
                <w:b/>
                <w:color w:val="000000"/>
                <w:sz w:val="20"/>
                <w:szCs w:val="20"/>
                <w:lang w:eastAsia="zh-CN"/>
              </w:rPr>
              <w:t>100</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color w:val="000000"/>
                <w:sz w:val="20"/>
                <w:szCs w:val="20"/>
              </w:rPr>
            </w:pPr>
            <w:r>
              <w:rPr>
                <w:rFonts w:hint="eastAsia" w:ascii="宋体" w:hAnsi="宋体" w:cs="宋体"/>
                <w:b/>
                <w:color w:val="000000"/>
                <w:sz w:val="20"/>
                <w:szCs w:val="20"/>
                <w:lang w:eastAsia="zh-CN"/>
              </w:rPr>
              <w:t>100</w:t>
            </w:r>
          </w:p>
        </w:tc>
      </w:tr>
      <w:tr>
        <w:tblPrEx>
          <w:tblCellMar>
            <w:top w:w="0" w:type="dxa"/>
            <w:left w:w="0" w:type="dxa"/>
            <w:bottom w:w="0" w:type="dxa"/>
            <w:right w:w="0" w:type="dxa"/>
          </w:tblCellMar>
        </w:tblPrEx>
        <w:trPr>
          <w:trHeight w:val="480" w:hRule="atLeast"/>
        </w:trPr>
        <w:tc>
          <w:tcPr>
            <w:tcW w:w="8305" w:type="dxa"/>
            <w:gridSpan w:val="7"/>
            <w:tcBorders>
              <w:top w:val="single" w:color="auto" w:sz="4" w:space="0"/>
              <w:left w:val="nil"/>
              <w:bottom w:val="nil"/>
              <w:right w:val="nil"/>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填表人：莫露珠                电话：67410</w:t>
            </w:r>
            <w:r>
              <w:rPr>
                <w:rFonts w:hint="eastAsia" w:ascii="宋体" w:hAnsi="宋体" w:cs="宋体"/>
                <w:sz w:val="20"/>
                <w:szCs w:val="20"/>
                <w:lang w:val="en-US" w:eastAsia="zh-CN"/>
              </w:rPr>
              <w:t>80</w:t>
            </w:r>
            <w:r>
              <w:rPr>
                <w:rFonts w:hint="eastAsia" w:ascii="宋体" w:hAnsi="宋体" w:cs="宋体"/>
                <w:sz w:val="20"/>
                <w:szCs w:val="20"/>
                <w:lang w:eastAsia="zh-CN"/>
              </w:rPr>
              <w:t xml:space="preserve">                单位负责人：刘杰   </w:t>
            </w:r>
          </w:p>
        </w:tc>
      </w:tr>
      <w:tr>
        <w:tblPrEx>
          <w:tblCellMar>
            <w:top w:w="0" w:type="dxa"/>
            <w:left w:w="0" w:type="dxa"/>
            <w:bottom w:w="0" w:type="dxa"/>
            <w:right w:w="0" w:type="dxa"/>
          </w:tblCellMar>
        </w:tblPrEx>
        <w:trPr>
          <w:trHeight w:val="502" w:hRule="atLeast"/>
        </w:trPr>
        <w:tc>
          <w:tcPr>
            <w:tcW w:w="8305" w:type="dxa"/>
            <w:gridSpan w:val="7"/>
            <w:tcBorders>
              <w:top w:val="nil"/>
              <w:left w:val="nil"/>
              <w:bottom w:val="nil"/>
              <w:right w:val="nil"/>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填报说明：（一）项目概况：简要描述项目的内容、目的、范围、期限等基本情况。（二）项目实施进度计划：按进度描述本年度项目具体细化的实施内容，分别填写计划开始时间和计划完成时间。（三）项目年度绩效目标：概括描述项目在本年度所计划达到的产出和效果。（四）产出指标：反映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五）效益指标：反映与既定绩效目标相关的、财政支出预期结果的实现程度。（六）指标中投入、过程的指标为共性指标，共45分，已设定了评价标准及相应分值，部门无需再设定。（七）产出指标和效益指标为个性指标，共55分，由部门根据具体项目情况设定，并赋予具体分值。（八）产出指标和效益指标所对应的每一个二级指标可根据需要设定数个三级指标，比如：数量指标下设“年内举办培训班4期”、“年内参训人数1000人以上”等多个三级指标；对于项目无法体现的指标可删除，比如：该项目没有经济效益指标可将经济效益指标删除。</w:t>
            </w:r>
            <w:r>
              <w:rPr>
                <w:rFonts w:hint="eastAsia" w:ascii="宋体" w:hAnsi="宋体" w:cs="宋体"/>
                <w:sz w:val="20"/>
                <w:szCs w:val="20"/>
                <w:lang w:eastAsia="zh-CN"/>
              </w:rPr>
              <w:br w:type="textWrapping"/>
            </w:r>
            <w:r>
              <w:rPr>
                <w:rStyle w:val="7"/>
                <w:rFonts w:hint="default"/>
                <w:lang w:eastAsia="zh-CN"/>
              </w:rPr>
              <w:t xml:space="preserve">  </w:t>
            </w:r>
          </w:p>
        </w:tc>
      </w:tr>
    </w:tbl>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22BC1"/>
    <w:multiLevelType w:val="singleLevel"/>
    <w:tmpl w:val="C8322BC1"/>
    <w:lvl w:ilvl="0" w:tentative="0">
      <w:start w:val="1"/>
      <w:numFmt w:val="chineseCounting"/>
      <w:suff w:val="nothing"/>
      <w:lvlText w:val="（%1）"/>
      <w:lvlJc w:val="left"/>
      <w:rPr>
        <w:rFonts w:hint="eastAsia"/>
      </w:rPr>
    </w:lvl>
  </w:abstractNum>
  <w:abstractNum w:abstractNumId="1">
    <w:nsid w:val="1A11D83D"/>
    <w:multiLevelType w:val="singleLevel"/>
    <w:tmpl w:val="1A11D83D"/>
    <w:lvl w:ilvl="0" w:tentative="0">
      <w:start w:val="1"/>
      <w:numFmt w:val="chineseCounting"/>
      <w:suff w:val="nothing"/>
      <w:lvlText w:val="%1、"/>
      <w:lvlJc w:val="left"/>
      <w:rPr>
        <w:rFonts w:hint="eastAsia"/>
      </w:rPr>
    </w:lvl>
  </w:abstractNum>
  <w:abstractNum w:abstractNumId="2">
    <w:nsid w:val="7DFB4EE0"/>
    <w:multiLevelType w:val="singleLevel"/>
    <w:tmpl w:val="7DFB4EE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Tk1NGM2YmU0NzdmNmU2Yzk5ZTU0OTFhZDE3MzEifQ=="/>
  </w:docVars>
  <w:rsids>
    <w:rsidRoot w:val="00000000"/>
    <w:rsid w:val="2176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51"/>
    <w:basedOn w:val="5"/>
    <w:qFormat/>
    <w:uiPriority w:val="0"/>
    <w:rPr>
      <w:rFonts w:hint="eastAsia" w:ascii="宋体" w:hAnsi="宋体" w:eastAsia="宋体" w:cs="宋体"/>
      <w:b/>
      <w:color w:val="auto"/>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2022-01-04T06:29:57Z</dcterms:created>
  <dc:creator>Administrator</dc:creator>
  <cp:lastModifiedBy>鹿寨县平山镇财政所</cp:lastModifiedBy>
  <dcterms:modified xsi:type="dcterms:W3CDTF">2022-01-04T06:31:03Z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D12D69DC6823403289B044081A76EAA6</vt:lpwstr>
  </property>
</Properties>
</file>