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方正大标宋简体" w:cs="Times New Roman"/>
          <w:b/>
          <w:bCs/>
          <w:color w:val="FF0000"/>
          <w:sz w:val="72"/>
          <w:szCs w:val="72"/>
        </w:rPr>
      </w:pPr>
    </w:p>
    <w:p>
      <w:pPr>
        <w:spacing w:line="700" w:lineRule="exact"/>
        <w:ind w:left="0" w:leftChars="0" w:firstLine="0" w:firstLineChars="0"/>
        <w:jc w:val="center"/>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鹿审环批复</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号</w:t>
      </w:r>
    </w:p>
    <w:p>
      <w:pPr>
        <w:spacing w:line="560" w:lineRule="exact"/>
        <w:jc w:val="both"/>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关于</w:t>
      </w:r>
      <w:r>
        <w:rPr>
          <w:rFonts w:hint="eastAsia" w:ascii="方正小标宋_GBK" w:hAnsi="方正小标宋_GBK" w:eastAsia="方正小标宋_GBK" w:cs="方正小标宋_GBK"/>
          <w:i w:val="0"/>
          <w:iCs w:val="0"/>
          <w:caps w:val="0"/>
          <w:color w:val="000000"/>
          <w:spacing w:val="0"/>
          <w:sz w:val="44"/>
          <w:szCs w:val="44"/>
        </w:rPr>
        <w:t>广西佳皇木业有限公司</w:t>
      </w:r>
      <w:r>
        <w:rPr>
          <w:rFonts w:hint="eastAsia" w:ascii="方正小标宋_GBK" w:hAnsi="方正小标宋_GBK" w:eastAsia="方正小标宋_GBK" w:cs="方正小标宋_GBK"/>
          <w:b w:val="0"/>
          <w:bCs w:val="0"/>
          <w:i w:val="0"/>
          <w:iCs w:val="0"/>
          <w:caps w:val="0"/>
          <w:color w:val="000000"/>
          <w:spacing w:val="0"/>
          <w:sz w:val="44"/>
          <w:szCs w:val="44"/>
        </w:rPr>
        <w:t>年产100万平方实木复合地板项目环境影响报告表的批复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i w:val="0"/>
          <w:iCs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广西佳皇木业有限公司：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你公司报来的《</w:t>
      </w:r>
      <w:r>
        <w:rPr>
          <w:rFonts w:hint="default" w:ascii="Times New Roman" w:hAnsi="Times New Roman" w:eastAsia="仿宋_GB2312" w:cs="Times New Roman"/>
          <w:b w:val="0"/>
          <w:bCs w:val="0"/>
          <w:i w:val="0"/>
          <w:iCs w:val="0"/>
          <w:caps w:val="0"/>
          <w:color w:val="000000"/>
          <w:spacing w:val="0"/>
          <w:sz w:val="32"/>
          <w:szCs w:val="32"/>
        </w:rPr>
        <w:t>关于</w:t>
      </w:r>
      <w:r>
        <w:rPr>
          <w:rFonts w:hint="default" w:ascii="Times New Roman" w:hAnsi="Times New Roman" w:eastAsia="仿宋_GB2312" w:cs="Times New Roman"/>
          <w:i w:val="0"/>
          <w:iCs w:val="0"/>
          <w:caps w:val="0"/>
          <w:color w:val="000000"/>
          <w:spacing w:val="0"/>
          <w:sz w:val="32"/>
          <w:szCs w:val="32"/>
        </w:rPr>
        <w:t>广西佳皇木业有限公司</w:t>
      </w:r>
      <w:r>
        <w:rPr>
          <w:rFonts w:hint="default" w:ascii="Times New Roman" w:hAnsi="Times New Roman" w:eastAsia="仿宋_GB2312" w:cs="Times New Roman"/>
          <w:b w:val="0"/>
          <w:bCs w:val="0"/>
          <w:i w:val="0"/>
          <w:iCs w:val="0"/>
          <w:caps w:val="0"/>
          <w:color w:val="000000"/>
          <w:spacing w:val="0"/>
          <w:sz w:val="32"/>
          <w:szCs w:val="32"/>
        </w:rPr>
        <w:t>年产100万平方实木复合地板项目环境影响报告表的批复</w:t>
      </w:r>
      <w:r>
        <w:rPr>
          <w:rFonts w:hint="default" w:ascii="Times New Roman" w:hAnsi="Times New Roman" w:eastAsia="仿宋_GB2312" w:cs="Times New Roman"/>
          <w:i w:val="0"/>
          <w:iCs w:val="0"/>
          <w:caps w:val="0"/>
          <w:color w:val="auto"/>
          <w:spacing w:val="0"/>
          <w:sz w:val="32"/>
          <w:szCs w:val="32"/>
        </w:rPr>
        <w:t>》（以下简称《报告表》）已收悉。经研究，批复如下：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eastAsia" w:ascii="黑体" w:hAnsi="黑体" w:eastAsia="黑体" w:cs="黑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项目位于广西壮族（自治区）柳州市鹿寨县鹿寨镇十里亭广西桂中（鹿寨）现代林业科技产业园内，占地面积约12017.70m</w:t>
      </w:r>
      <w:r>
        <w:rPr>
          <w:rFonts w:hint="default" w:ascii="Times New Roman" w:hAnsi="Times New Roman" w:eastAsia="仿宋_GB2312" w:cs="Times New Roman"/>
          <w:i w:val="0"/>
          <w:iCs w:val="0"/>
          <w:caps w:val="0"/>
          <w:color w:val="auto"/>
          <w:spacing w:val="0"/>
          <w:sz w:val="32"/>
          <w:szCs w:val="32"/>
          <w:vertAlign w:val="superscript"/>
        </w:rPr>
        <w:t>2</w:t>
      </w:r>
      <w:r>
        <w:rPr>
          <w:rFonts w:hint="default" w:ascii="Times New Roman" w:hAnsi="Times New Roman" w:eastAsia="仿宋_GB2312" w:cs="Times New Roman"/>
          <w:i w:val="0"/>
          <w:iCs w:val="0"/>
          <w:caps w:val="0"/>
          <w:color w:val="auto"/>
          <w:spacing w:val="0"/>
          <w:sz w:val="32"/>
          <w:szCs w:val="32"/>
        </w:rPr>
        <w:t>，总投资</w:t>
      </w:r>
      <w:r>
        <w:rPr>
          <w:rFonts w:hint="eastAsia" w:ascii="Times New Roman" w:hAnsi="Times New Roman" w:eastAsia="仿宋_GB2312" w:cs="Times New Roman"/>
          <w:i w:val="0"/>
          <w:iCs w:val="0"/>
          <w:caps w:val="0"/>
          <w:color w:val="auto"/>
          <w:spacing w:val="0"/>
          <w:sz w:val="32"/>
          <w:szCs w:val="32"/>
          <w:lang w:val="en-US" w:eastAsia="zh-CN"/>
        </w:rPr>
        <w:t>4500</w:t>
      </w:r>
      <w:r>
        <w:rPr>
          <w:rFonts w:hint="default" w:ascii="Times New Roman" w:hAnsi="Times New Roman" w:eastAsia="仿宋_GB2312" w:cs="Times New Roman"/>
          <w:i w:val="0"/>
          <w:iCs w:val="0"/>
          <w:caps w:val="0"/>
          <w:color w:val="auto"/>
          <w:spacing w:val="0"/>
          <w:sz w:val="32"/>
          <w:szCs w:val="32"/>
        </w:rPr>
        <w:t>万元，主要建设内容为：</w:t>
      </w:r>
      <w:r>
        <w:rPr>
          <w:rFonts w:hint="eastAsia" w:ascii="Times New Roman" w:hAnsi="Times New Roman" w:eastAsia="仿宋_GB2312" w:cs="Times New Roman"/>
          <w:i w:val="0"/>
          <w:iCs w:val="0"/>
          <w:caps w:val="0"/>
          <w:color w:val="auto"/>
          <w:spacing w:val="0"/>
          <w:sz w:val="32"/>
          <w:szCs w:val="32"/>
          <w:lang w:val="en-US" w:eastAsia="zh-CN"/>
        </w:rPr>
        <w:t>建设</w:t>
      </w:r>
      <w:r>
        <w:rPr>
          <w:rFonts w:hint="default" w:ascii="Times New Roman" w:hAnsi="Times New Roman" w:eastAsia="仿宋_GB2312" w:cs="Times New Roman"/>
          <w:i w:val="0"/>
          <w:iCs w:val="0"/>
          <w:caps w:val="0"/>
          <w:color w:val="auto"/>
          <w:spacing w:val="0"/>
          <w:sz w:val="32"/>
          <w:szCs w:val="32"/>
        </w:rPr>
        <w:t>2栋生产厂房，</w:t>
      </w:r>
      <w:r>
        <w:rPr>
          <w:rFonts w:hint="eastAsia"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栋办公楼、门卫等其他配套设施，年产100万平方米复合地板。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sz w:val="32"/>
          <w:szCs w:val="32"/>
        </w:rPr>
        <w:t>项目已取得广西壮族自治区投资项目备案证明，项目代码：2212-450223-04-01-438988，属于</w:t>
      </w:r>
      <w:r>
        <w:rPr>
          <w:rFonts w:hint="default" w:ascii="Times New Roman" w:hAnsi="Times New Roman" w:eastAsia="仿宋_GB2312" w:cs="Times New Roman"/>
          <w:i w:val="0"/>
          <w:iCs w:val="0"/>
          <w:caps w:val="0"/>
          <w:color w:val="auto"/>
          <w:spacing w:val="0"/>
          <w:sz w:val="32"/>
          <w:szCs w:val="32"/>
          <w:lang w:eastAsia="zh-CN"/>
        </w:rPr>
        <w:t>新</w:t>
      </w:r>
      <w:r>
        <w:rPr>
          <w:rFonts w:hint="default" w:ascii="Times New Roman" w:hAnsi="Times New Roman" w:eastAsia="仿宋_GB2312" w:cs="Times New Roman"/>
          <w:i w:val="0"/>
          <w:iCs w:val="0"/>
          <w:caps w:val="0"/>
          <w:color w:val="auto"/>
          <w:spacing w:val="0"/>
          <w:sz w:val="32"/>
          <w:szCs w:val="32"/>
        </w:rPr>
        <w:t>建项目</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从环境影响角度考虑，同意你公司按照报告表所列的建设项目的地点、性质、规模、采取的环境保护对策措施及下述要求进行项目建设。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项目须落实报告表提出的各项环保要求，重点抓好以下环保工作：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施工期应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w:t>
      </w:r>
      <w:r>
        <w:rPr>
          <w:rFonts w:hint="eastAsia" w:ascii="Times New Roman" w:hAnsi="Times New Roman" w:eastAsia="仿宋_GB2312" w:cs="Times New Roman"/>
          <w:i w:val="0"/>
          <w:iCs w:val="0"/>
          <w:caps w:val="0"/>
          <w:color w:val="auto"/>
          <w:spacing w:val="0"/>
          <w:sz w:val="32"/>
          <w:szCs w:val="32"/>
          <w:lang w:val="en-US" w:eastAsia="zh-CN"/>
        </w:rPr>
        <w:t>向行业主管部门</w:t>
      </w:r>
      <w:r>
        <w:rPr>
          <w:rFonts w:hint="default" w:ascii="Times New Roman" w:hAnsi="Times New Roman" w:eastAsia="仿宋_GB2312" w:cs="Times New Roman"/>
          <w:i w:val="0"/>
          <w:iCs w:val="0"/>
          <w:caps w:val="0"/>
          <w:color w:val="auto"/>
          <w:spacing w:val="0"/>
          <w:sz w:val="32"/>
          <w:szCs w:val="32"/>
        </w:rPr>
        <w:t>申报，得到夜间建筑施工证明；对周围环境敏感点设置临时性防治理噪声污染的隔声屏障，以减轻施工噪声对周围环境的影响。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施工期应严格遵守HJ/T393-2007《防治城市扬尘污染技术规范》，做好扬尘防治工作。施工场地应采取围挡、遮盖、洒水降尘等措施，以减轻扬尘污染。材料运输车辆要落实防撒落、防扬尘等措施。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运营期合理布局噪声源强较大的设备及工艺，并采取有效的隔声降噪减振措施，确保东、</w:t>
      </w:r>
      <w:r>
        <w:rPr>
          <w:rFonts w:hint="eastAsia" w:ascii="Times New Roman" w:hAnsi="Times New Roman" w:eastAsia="仿宋_GB2312" w:cs="Times New Roman"/>
          <w:i w:val="0"/>
          <w:iCs w:val="0"/>
          <w:caps w:val="0"/>
          <w:color w:val="auto"/>
          <w:spacing w:val="0"/>
          <w:sz w:val="32"/>
          <w:szCs w:val="32"/>
          <w:lang w:val="en-US" w:eastAsia="zh-CN"/>
        </w:rPr>
        <w:t>南、</w:t>
      </w:r>
      <w:r>
        <w:rPr>
          <w:rFonts w:hint="default" w:ascii="Times New Roman" w:hAnsi="Times New Roman" w:eastAsia="仿宋_GB2312" w:cs="Times New Roman"/>
          <w:i w:val="0"/>
          <w:iCs w:val="0"/>
          <w:caps w:val="0"/>
          <w:color w:val="auto"/>
          <w:spacing w:val="0"/>
          <w:sz w:val="32"/>
          <w:szCs w:val="32"/>
        </w:rPr>
        <w:t>西面</w:t>
      </w:r>
      <w:r>
        <w:rPr>
          <w:rFonts w:hint="eastAsia" w:ascii="Times New Roman" w:hAnsi="Times New Roman" w:eastAsia="仿宋_GB2312" w:cs="Times New Roman"/>
          <w:i w:val="0"/>
          <w:iCs w:val="0"/>
          <w:caps w:val="0"/>
          <w:color w:val="auto"/>
          <w:spacing w:val="0"/>
          <w:sz w:val="32"/>
          <w:szCs w:val="32"/>
          <w:lang w:val="en-US" w:eastAsia="zh-CN"/>
        </w:rPr>
        <w:t>厂界</w:t>
      </w:r>
      <w:r>
        <w:rPr>
          <w:rFonts w:hint="default" w:ascii="Times New Roman" w:hAnsi="Times New Roman" w:eastAsia="仿宋_GB2312" w:cs="Times New Roman"/>
          <w:i w:val="0"/>
          <w:iCs w:val="0"/>
          <w:caps w:val="0"/>
          <w:color w:val="auto"/>
          <w:spacing w:val="0"/>
          <w:sz w:val="32"/>
          <w:szCs w:val="32"/>
        </w:rPr>
        <w:t>噪声满足《工业企业厂界环境噪声排放标准》（GB12348-2008）</w:t>
      </w:r>
      <w:r>
        <w:rPr>
          <w:rFonts w:hint="eastAsia"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类标准要求</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北</w:t>
      </w:r>
      <w:r>
        <w:rPr>
          <w:rFonts w:hint="eastAsia" w:ascii="Times New Roman" w:hAnsi="Times New Roman" w:eastAsia="仿宋_GB2312" w:cs="Times New Roman"/>
          <w:i w:val="0"/>
          <w:iCs w:val="0"/>
          <w:caps w:val="0"/>
          <w:color w:val="auto"/>
          <w:spacing w:val="0"/>
          <w:sz w:val="32"/>
          <w:szCs w:val="32"/>
          <w:lang w:eastAsia="zh-CN"/>
        </w:rPr>
        <w:t>面</w:t>
      </w:r>
      <w:r>
        <w:rPr>
          <w:rFonts w:hint="eastAsia" w:ascii="Times New Roman" w:hAnsi="Times New Roman" w:eastAsia="仿宋_GB2312" w:cs="Times New Roman"/>
          <w:i w:val="0"/>
          <w:iCs w:val="0"/>
          <w:caps w:val="0"/>
          <w:color w:val="auto"/>
          <w:spacing w:val="0"/>
          <w:sz w:val="32"/>
          <w:szCs w:val="32"/>
          <w:lang w:val="en-US" w:eastAsia="zh-CN"/>
        </w:rPr>
        <w:t>厂界</w:t>
      </w:r>
      <w:r>
        <w:rPr>
          <w:rFonts w:hint="eastAsia" w:ascii="Times New Roman" w:hAnsi="Times New Roman" w:eastAsia="仿宋_GB2312" w:cs="Times New Roman"/>
          <w:i w:val="0"/>
          <w:iCs w:val="0"/>
          <w:caps w:val="0"/>
          <w:color w:val="auto"/>
          <w:spacing w:val="0"/>
          <w:sz w:val="32"/>
          <w:szCs w:val="32"/>
          <w:lang w:eastAsia="zh-CN"/>
        </w:rPr>
        <w:t>噪声满足《工业企业厂界环境噪声排放标准》（GB3096-2008）中4类标准</w:t>
      </w:r>
      <w:r>
        <w:rPr>
          <w:rFonts w:hint="default" w:ascii="Times New Roman" w:hAnsi="Times New Roman" w:eastAsia="仿宋_GB2312" w:cs="Times New Roman"/>
          <w:i w:val="0"/>
          <w:iCs w:val="0"/>
          <w:caps w:val="0"/>
          <w:color w:val="auto"/>
          <w:spacing w:val="0"/>
          <w:sz w:val="32"/>
          <w:szCs w:val="32"/>
        </w:rPr>
        <w:t>要求</w:t>
      </w:r>
      <w:r>
        <w:rPr>
          <w:rFonts w:hint="eastAsia" w:ascii="Times New Roman" w:hAnsi="Times New Roman" w:eastAsia="仿宋_GB2312" w:cs="Times New Roman"/>
          <w:i w:val="0"/>
          <w:iCs w:val="0"/>
          <w:caps w:val="0"/>
          <w:color w:val="auto"/>
          <w:spacing w:val="0"/>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华文楷体" w:hAnsi="华文楷体" w:eastAsia="华文楷体" w:cs="华文楷体"/>
          <w:i w:val="0"/>
          <w:iCs w:val="0"/>
          <w:caps w:val="0"/>
          <w:color w:val="auto"/>
          <w:spacing w:val="0"/>
          <w:sz w:val="32"/>
          <w:szCs w:val="32"/>
        </w:rPr>
        <w:t>（四）</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val="en-US" w:eastAsia="zh-CN"/>
        </w:rPr>
        <w:t>产生的</w:t>
      </w:r>
      <w:r>
        <w:rPr>
          <w:rFonts w:hint="eastAsia" w:ascii="Times New Roman" w:hAnsi="Times New Roman" w:eastAsia="仿宋_GB2312" w:cs="Times New Roman"/>
          <w:kern w:val="0"/>
          <w:sz w:val="32"/>
          <w:szCs w:val="32"/>
          <w:lang w:eastAsia="zh-CN"/>
        </w:rPr>
        <w:t>大气污染物主要为涂胶贴面、热压废气，切割、砂光废气，喷漆废气，锅炉废气，以及食堂油烟废气。</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微软雅黑" w:hAnsi="微软雅黑" w:eastAsia="微软雅黑" w:cs="微软雅黑"/>
          <w:kern w:val="0"/>
          <w:sz w:val="32"/>
          <w:szCs w:val="32"/>
          <w:lang w:eastAsia="zh-CN"/>
        </w:rPr>
        <w:t>①</w:t>
      </w:r>
      <w:r>
        <w:rPr>
          <w:rFonts w:hint="eastAsia" w:ascii="仿宋_GB2312" w:hAnsi="仿宋_GB2312" w:eastAsia="仿宋_GB2312" w:cs="仿宋_GB2312"/>
          <w:kern w:val="0"/>
          <w:sz w:val="32"/>
          <w:szCs w:val="32"/>
          <w:lang w:val="en-US" w:eastAsia="zh-CN"/>
        </w:rPr>
        <w:t>项目</w:t>
      </w:r>
      <w:r>
        <w:rPr>
          <w:rFonts w:hint="eastAsia" w:ascii="Times New Roman" w:hAnsi="Times New Roman" w:eastAsia="仿宋_GB2312" w:cs="Times New Roman"/>
          <w:kern w:val="0"/>
          <w:sz w:val="32"/>
          <w:szCs w:val="32"/>
          <w:lang w:eastAsia="zh-CN"/>
        </w:rPr>
        <w:t>涂胶贴面、热压废气采取两级活性炭+15m高排气筒（DA001）排放，确保非甲烷总烃和甲醛排放达到《大气污染物综合排放标准》（GB16297-1996）表2中二级标准限值及无组织排放监控浓度限值。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微软雅黑" w:hAnsi="微软雅黑" w:eastAsia="微软雅黑" w:cs="微软雅黑"/>
          <w:i w:val="0"/>
          <w:iCs w:val="0"/>
          <w:caps w:val="0"/>
          <w:color w:val="auto"/>
          <w:spacing w:val="0"/>
          <w:sz w:val="32"/>
          <w:szCs w:val="32"/>
        </w:rPr>
        <w:t>②</w:t>
      </w:r>
      <w:r>
        <w:rPr>
          <w:rFonts w:hint="default" w:ascii="Times New Roman" w:hAnsi="Times New Roman" w:eastAsia="仿宋_GB2312" w:cs="Times New Roman"/>
          <w:i w:val="0"/>
          <w:iCs w:val="0"/>
          <w:caps w:val="0"/>
          <w:color w:val="auto"/>
          <w:spacing w:val="0"/>
          <w:sz w:val="32"/>
          <w:szCs w:val="32"/>
        </w:rPr>
        <w:t>项目切割、砂光废气采取布袋除尘器+15m高排气筒（DA002）排放</w:t>
      </w:r>
      <w:r>
        <w:rPr>
          <w:rFonts w:hint="eastAsia" w:ascii="Times New Roman" w:hAnsi="Times New Roman" w:eastAsia="仿宋_GB2312" w:cs="Times New Roman"/>
          <w:i w:val="0"/>
          <w:iCs w:val="0"/>
          <w:caps w:val="0"/>
          <w:color w:val="auto"/>
          <w:spacing w:val="0"/>
          <w:sz w:val="32"/>
          <w:szCs w:val="32"/>
          <w:lang w:eastAsia="zh-CN"/>
        </w:rPr>
        <w:t>，确保颗粒物排放浓度满足</w:t>
      </w:r>
      <w:r>
        <w:rPr>
          <w:rFonts w:hint="eastAsia" w:ascii="Times New Roman" w:hAnsi="Times New Roman" w:eastAsia="仿宋_GB2312" w:cs="Times New Roman"/>
          <w:kern w:val="0"/>
          <w:sz w:val="32"/>
          <w:szCs w:val="32"/>
          <w:lang w:eastAsia="zh-CN"/>
        </w:rPr>
        <w:t>《大气污染物综合排放标准》（GB16297-1996）中表2中二级标准限值及无组织排放监控浓度限值。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微软雅黑" w:hAnsi="微软雅黑" w:eastAsia="微软雅黑" w:cs="微软雅黑"/>
          <w:kern w:val="0"/>
          <w:sz w:val="32"/>
          <w:szCs w:val="32"/>
          <w:lang w:eastAsia="zh-CN"/>
        </w:rPr>
        <w:t>③</w:t>
      </w:r>
      <w:r>
        <w:rPr>
          <w:rFonts w:hint="eastAsia" w:ascii="Times New Roman" w:hAnsi="Times New Roman" w:eastAsia="仿宋_GB2312" w:cs="Times New Roman"/>
          <w:kern w:val="0"/>
          <w:sz w:val="32"/>
          <w:szCs w:val="32"/>
          <w:lang w:eastAsia="zh-CN"/>
        </w:rPr>
        <w:t>项目喷漆废气采取干式过滤+活性炭吸附+15m高排气筒（DA003）排放，须确保喷漆工序产生的非甲烷总烃和颗粒物排放达到《大气污染物综合排放标准》（GB16297-1996）表2中二级标准限值及无组织排放监控浓度限值。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微软雅黑" w:hAnsi="微软雅黑" w:eastAsia="微软雅黑" w:cs="微软雅黑"/>
          <w:kern w:val="0"/>
          <w:sz w:val="32"/>
          <w:szCs w:val="32"/>
          <w:lang w:eastAsia="zh-CN"/>
        </w:rPr>
        <w:t>④</w:t>
      </w:r>
      <w:r>
        <w:rPr>
          <w:rFonts w:hint="eastAsia" w:ascii="Times New Roman" w:hAnsi="Times New Roman" w:eastAsia="仿宋_GB2312" w:cs="Times New Roman"/>
          <w:kern w:val="0"/>
          <w:sz w:val="32"/>
          <w:szCs w:val="32"/>
          <w:lang w:eastAsia="zh-CN"/>
        </w:rPr>
        <w:t>项目锅炉废气采取旋风除尘+布袋除尘+35m高排气筒（DA004）排放，</w:t>
      </w:r>
      <w:r>
        <w:rPr>
          <w:rFonts w:hint="eastAsia" w:ascii="Times New Roman" w:hAnsi="Times New Roman" w:eastAsia="仿宋_GB2312" w:cs="Times New Roman"/>
          <w:kern w:val="0"/>
          <w:sz w:val="32"/>
          <w:szCs w:val="32"/>
          <w:lang w:val="en-US" w:eastAsia="zh-CN"/>
        </w:rPr>
        <w:t>确保</w:t>
      </w:r>
      <w:r>
        <w:rPr>
          <w:rFonts w:hint="eastAsia" w:ascii="Times New Roman" w:hAnsi="Times New Roman" w:eastAsia="仿宋_GB2312" w:cs="Times New Roman"/>
          <w:kern w:val="0"/>
          <w:sz w:val="32"/>
          <w:szCs w:val="32"/>
          <w:lang w:eastAsia="zh-CN"/>
        </w:rPr>
        <w:t>锅炉产生的颗粒物、二氧化硫、氮氧化物排放达到《锅炉大气污染物排放标准》（GB13271-2014）中新建燃煤锅炉大气污染物排放浓度限值。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微软雅黑" w:hAnsi="微软雅黑" w:eastAsia="微软雅黑" w:cs="微软雅黑"/>
          <w:kern w:val="0"/>
          <w:sz w:val="32"/>
          <w:szCs w:val="32"/>
          <w:lang w:eastAsia="zh-CN"/>
        </w:rPr>
        <w:t>⑤</w:t>
      </w:r>
      <w:r>
        <w:rPr>
          <w:rFonts w:hint="eastAsia" w:ascii="Times New Roman" w:hAnsi="Times New Roman" w:eastAsia="仿宋_GB2312" w:cs="Times New Roman"/>
          <w:kern w:val="0"/>
          <w:sz w:val="32"/>
          <w:szCs w:val="32"/>
          <w:lang w:val="en-US" w:eastAsia="zh-CN"/>
        </w:rPr>
        <w:t>项目食堂产生油烟废气，经油烟净化器处理后通过专用烟道楼顶排放，食堂油烟的排放可达到《饮食业油烟排放标准》（GB18483-2001）中的大型限值要求。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（五）</w:t>
      </w:r>
      <w:r>
        <w:rPr>
          <w:rFonts w:hint="default" w:ascii="Times New Roman" w:hAnsi="Times New Roman" w:eastAsia="仿宋_GB2312" w:cs="Times New Roman"/>
          <w:i w:val="0"/>
          <w:iCs w:val="0"/>
          <w:caps w:val="0"/>
          <w:color w:val="auto"/>
          <w:spacing w:val="0"/>
          <w:sz w:val="32"/>
          <w:szCs w:val="32"/>
        </w:rPr>
        <w:t>运营期产生的废水主要为生活污水</w:t>
      </w:r>
      <w:r>
        <w:rPr>
          <w:rFonts w:hint="eastAsia" w:ascii="Times New Roman" w:hAnsi="Times New Roman" w:eastAsia="仿宋_GB2312" w:cs="Times New Roman"/>
          <w:i w:val="0"/>
          <w:iCs w:val="0"/>
          <w:caps w:val="0"/>
          <w:color w:val="auto"/>
          <w:spacing w:val="0"/>
          <w:sz w:val="32"/>
          <w:szCs w:val="32"/>
          <w:lang w:val="en-US" w:eastAsia="zh-CN"/>
        </w:rPr>
        <w:t>和锅炉废水</w:t>
      </w:r>
      <w:r>
        <w:rPr>
          <w:rFonts w:hint="default" w:ascii="Times New Roman" w:hAnsi="Times New Roman" w:eastAsia="仿宋_GB2312" w:cs="Times New Roman"/>
          <w:i w:val="0"/>
          <w:iCs w:val="0"/>
          <w:caps w:val="0"/>
          <w:color w:val="auto"/>
          <w:spacing w:val="0"/>
          <w:sz w:val="32"/>
          <w:szCs w:val="32"/>
        </w:rPr>
        <w:t>，锅炉排水属于清静下水，与经过处理后的生活污水一并排入市政污水管网，输送至鹿寨县污水处理厂处理。职工生活污水经化粪池处理达到《污水综合排放标准》（GB8978-1996）三级标准后排入市政污水管网，再进入鹿寨县污水处理厂处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rPr>
        <w:t>（六）</w:t>
      </w:r>
      <w:r>
        <w:rPr>
          <w:rFonts w:hint="default" w:ascii="Times New Roman" w:hAnsi="Times New Roman" w:eastAsia="仿宋_GB2312" w:cs="Times New Roman"/>
          <w:i w:val="0"/>
          <w:iCs w:val="0"/>
          <w:caps w:val="0"/>
          <w:color w:val="auto"/>
          <w:spacing w:val="0"/>
          <w:sz w:val="32"/>
          <w:szCs w:val="32"/>
        </w:rPr>
        <w:t>收集并妥善处置各类固体废物。项目切割、砂光等过程产生的粉尘经布袋除尘器收集，回收后用于本项目基材修补，不外排</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项目</w:t>
      </w:r>
      <w:r>
        <w:rPr>
          <w:rFonts w:hint="default" w:ascii="Times New Roman" w:hAnsi="Times New Roman" w:eastAsia="仿宋_GB2312" w:cs="Times New Roman"/>
          <w:i w:val="0"/>
          <w:iCs w:val="0"/>
          <w:caps w:val="0"/>
          <w:color w:val="auto"/>
          <w:spacing w:val="0"/>
          <w:sz w:val="32"/>
          <w:szCs w:val="32"/>
        </w:rPr>
        <w:t>生产线切割、砂光等过程产生的边角料及木屑，木地板生产过程产生不合格产品，收集后外售给周边企业</w:t>
      </w:r>
      <w:r>
        <w:rPr>
          <w:rFonts w:hint="eastAsia" w:ascii="Times New Roman" w:hAnsi="Times New Roman" w:eastAsia="仿宋_GB2312" w:cs="Times New Roman"/>
          <w:i w:val="0"/>
          <w:iCs w:val="0"/>
          <w:caps w:val="0"/>
          <w:color w:val="auto"/>
          <w:spacing w:val="0"/>
          <w:sz w:val="32"/>
          <w:szCs w:val="32"/>
          <w:lang w:eastAsia="zh-CN"/>
        </w:rPr>
        <w:t>；锅炉灰渣外售给农户做农肥。</w:t>
      </w:r>
      <w:r>
        <w:rPr>
          <w:rFonts w:hint="eastAsia" w:ascii="Times New Roman" w:hAnsi="Times New Roman" w:eastAsia="仿宋_GB2312" w:cs="Times New Roman"/>
          <w:i w:val="0"/>
          <w:iCs w:val="0"/>
          <w:caps w:val="0"/>
          <w:color w:val="auto"/>
          <w:spacing w:val="0"/>
          <w:sz w:val="32"/>
          <w:szCs w:val="32"/>
          <w:lang w:val="en-US" w:eastAsia="zh-CN"/>
        </w:rPr>
        <w:t>生活垃圾应统一收集，暂存于厂区设置的生活垃圾桶内，由环卫部门统一清运处置。项目废机油和含油抹布、废活性炭、废油漆桶、废胶渣属危险废物，严禁随意堆放，需集中收集暂存于危险废物暂存间，定期交由有相关资质的危废处置单位处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（七）</w:t>
      </w:r>
      <w:r>
        <w:rPr>
          <w:rFonts w:hint="default" w:ascii="Times New Roman" w:hAnsi="Times New Roman" w:eastAsia="仿宋_GB2312" w:cs="Times New Roman"/>
          <w:i w:val="0"/>
          <w:iCs w:val="0"/>
          <w:caps w:val="0"/>
          <w:color w:val="auto"/>
          <w:spacing w:val="0"/>
          <w:sz w:val="32"/>
          <w:szCs w:val="32"/>
        </w:rPr>
        <w:t>加强环境管理，制定并落实环境保护规章制度，确保环保措施的有效落实、环保设施的正常运转以及各项污染物稳定达标排放。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四、</w:t>
      </w:r>
      <w:r>
        <w:rPr>
          <w:rFonts w:hint="default" w:ascii="Times New Roman" w:hAnsi="Times New Roman" w:eastAsia="仿宋_GB2312" w:cs="Times New Roman"/>
          <w:i w:val="0"/>
          <w:iCs w:val="0"/>
          <w:caps w:val="0"/>
          <w:color w:val="auto"/>
          <w:spacing w:val="0"/>
          <w:sz w:val="32"/>
          <w:szCs w:val="32"/>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鹿寨县行政审批局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Times New Roman" w:hAnsi="Times New Roman" w:eastAsia="仿宋_GB2312" w:cs="Times New Roman"/>
          <w:i w:val="0"/>
          <w:iCs w:val="0"/>
          <w:caps w:val="0"/>
          <w:color w:val="000000"/>
          <w:spacing w:val="0"/>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rPr>
        <w:t>202</w:t>
      </w:r>
      <w:r>
        <w:rPr>
          <w:rFonts w:hint="eastAsia" w:ascii="Times New Roman" w:hAnsi="Times New Roman" w:eastAsia="仿宋_GB2312" w:cs="Times New Roman"/>
          <w:i w:val="0"/>
          <w:iCs w:val="0"/>
          <w:caps w:val="0"/>
          <w:color w:val="000000"/>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rPr>
        <w:t>年</w:t>
      </w:r>
      <w:r>
        <w:rPr>
          <w:rFonts w:hint="eastAsia" w:ascii="Times New Roman" w:hAnsi="Times New Roman" w:eastAsia="仿宋_GB2312" w:cs="Times New Roman"/>
          <w:i w:val="0"/>
          <w:iCs w:val="0"/>
          <w:caps w:val="0"/>
          <w:color w:val="000000"/>
          <w:spacing w:val="0"/>
          <w:sz w:val="32"/>
          <w:szCs w:val="32"/>
          <w:highlight w:val="none"/>
          <w:lang w:val="en-US" w:eastAsia="zh-CN"/>
        </w:rPr>
        <w:t>7</w:t>
      </w:r>
      <w:r>
        <w:rPr>
          <w:rFonts w:hint="default" w:ascii="Times New Roman" w:hAnsi="Times New Roman" w:eastAsia="仿宋_GB2312" w:cs="Times New Roman"/>
          <w:i w:val="0"/>
          <w:iCs w:val="0"/>
          <w:caps w:val="0"/>
          <w:color w:val="000000"/>
          <w:spacing w:val="0"/>
          <w:sz w:val="32"/>
          <w:szCs w:val="32"/>
          <w:highlight w:val="none"/>
        </w:rPr>
        <w:t>月</w:t>
      </w:r>
      <w:r>
        <w:rPr>
          <w:rFonts w:hint="eastAsia" w:ascii="Times New Roman" w:hAnsi="Times New Roman" w:eastAsia="仿宋_GB2312" w:cs="Times New Roman"/>
          <w:i w:val="0"/>
          <w:iCs w:val="0"/>
          <w:caps w:val="0"/>
          <w:color w:val="000000"/>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rPr>
        <w:t>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b/>
          <w:bCs/>
          <w:sz w:val="32"/>
          <w:szCs w:val="32"/>
          <w:u w:val="single"/>
        </w:rPr>
      </w:pPr>
      <w:r>
        <w:rPr>
          <w:rFonts w:hint="eastAsia" w:ascii="Times New Roman" w:hAnsi="Times New Roman" w:eastAsia="仿宋_GB2312" w:cs="Times New Roman"/>
          <w:sz w:val="32"/>
          <w:szCs w:val="32"/>
          <w:lang w:val="en-US" w:eastAsia="zh-CN"/>
        </w:rPr>
        <w:t>（此件公开发布）</w:t>
      </w:r>
    </w:p>
    <w:p>
      <w:pPr>
        <w:pStyle w:val="6"/>
        <w:ind w:left="0" w:leftChars="0" w:firstLine="0" w:firstLineChars="0"/>
      </w:pPr>
    </w:p>
    <w:p/>
    <w:p>
      <w:pPr>
        <w:pStyle w:val="2"/>
      </w:pPr>
    </w:p>
    <w:p>
      <w:pPr>
        <w:pStyle w:val="4"/>
      </w:pPr>
    </w:p>
    <w:p>
      <w:pPr>
        <w:pStyle w:val="4"/>
      </w:pPr>
    </w:p>
    <w:p>
      <w:pPr>
        <w:pStyle w:val="4"/>
      </w:pPr>
    </w:p>
    <w:p>
      <w:pPr>
        <w:bidi w:val="0"/>
        <w:rPr>
          <w:rFonts w:hint="default"/>
          <w:u w:val="single"/>
          <w:lang w:val="en-US" w:eastAsia="zh-CN"/>
        </w:rPr>
      </w:pPr>
      <w:r>
        <w:rPr>
          <w:rFonts w:hint="eastAsia"/>
          <w:u w:val="single"/>
          <w:lang w:val="en-US" w:eastAsia="zh-CN"/>
        </w:rPr>
        <w:t xml:space="preserve">                                                                                               </w:t>
      </w:r>
    </w:p>
    <w:p>
      <w:pPr>
        <w:spacing w:line="560" w:lineRule="exact"/>
        <w:jc w:val="both"/>
        <w:rPr>
          <w:rFonts w:hint="default" w:ascii="Times New Roman" w:hAnsi="Times New Roman" w:eastAsia="仿宋_GB2312" w:cs="Times New Roman"/>
          <w:i w:val="0"/>
          <w:iCs w:val="0"/>
          <w:caps w:val="0"/>
          <w:color w:val="000000"/>
          <w:spacing w:val="0"/>
          <w:sz w:val="32"/>
          <w:szCs w:val="32"/>
        </w:rPr>
      </w:pPr>
      <w:r>
        <w:rPr>
          <w:rFonts w:hint="eastAsia"/>
          <w:u w:val="single"/>
          <w:lang w:val="en-US" w:eastAsia="zh-CN"/>
        </w:rPr>
        <w:t xml:space="preserve">    </w:t>
      </w:r>
      <w:r>
        <w:rPr>
          <w:rFonts w:hint="eastAsia" w:ascii="仿宋_GB2312" w:hAnsi="仿宋_GB2312" w:eastAsia="仿宋_GB2312" w:cs="仿宋_GB2312"/>
          <w:sz w:val="32"/>
          <w:szCs w:val="32"/>
          <w:u w:val="single"/>
        </w:rPr>
        <w:t>鹿寨县行政审批局</w:t>
      </w:r>
      <w:r>
        <w:rPr>
          <w:rFonts w:hint="eastAsia" w:ascii="仿宋_GB2312" w:hAnsi="仿宋_GB2312" w:eastAsia="仿宋_GB2312" w:cs="仿宋_GB2312"/>
          <w:sz w:val="32"/>
          <w:szCs w:val="32"/>
          <w:u w:val="single"/>
          <w:lang w:val="en-US" w:eastAsia="zh-CN"/>
        </w:rPr>
        <w:t>办公室</w:t>
      </w:r>
      <w:r>
        <w:rPr>
          <w:rFonts w:hint="eastAsia"/>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仿宋_GB2312" w:cs="Times New Roman"/>
          <w:sz w:val="32"/>
          <w:szCs w:val="32"/>
          <w:u w:val="single"/>
        </w:rPr>
        <w:t>202</w:t>
      </w: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年</w:t>
      </w:r>
      <w:r>
        <w:rPr>
          <w:rFonts w:hint="eastAsia" w:ascii="Times New Roman" w:hAnsi="Times New Roman" w:eastAsia="仿宋_GB2312" w:cs="Times New Roman"/>
          <w:sz w:val="32"/>
          <w:szCs w:val="32"/>
          <w:u w:val="single"/>
          <w:lang w:val="en-US" w:eastAsia="zh-CN"/>
        </w:rPr>
        <w:t>7</w:t>
      </w:r>
      <w:r>
        <w:rPr>
          <w:rFonts w:hint="default" w:ascii="Times New Roman" w:hAnsi="Times New Roman" w:eastAsia="仿宋_GB2312" w:cs="Times New Roman"/>
          <w:sz w:val="32"/>
          <w:szCs w:val="32"/>
          <w:u w:val="single"/>
        </w:rPr>
        <w:t>月</w:t>
      </w:r>
      <w:r>
        <w:rPr>
          <w:rFonts w:hint="eastAsia"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日印发</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3" w:type="default"/>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NTJlN2UyMWJkMzRlM2NkZTRkOTAwMmYyOTM2M2IifQ=="/>
  </w:docVars>
  <w:rsids>
    <w:rsidRoot w:val="00000000"/>
    <w:rsid w:val="0B7A04DC"/>
    <w:rsid w:val="0F9B1F70"/>
    <w:rsid w:val="13A9638C"/>
    <w:rsid w:val="13EF0DE5"/>
    <w:rsid w:val="1D717AAD"/>
    <w:rsid w:val="35393B8A"/>
    <w:rsid w:val="35861467"/>
    <w:rsid w:val="427D6704"/>
    <w:rsid w:val="44A459D8"/>
    <w:rsid w:val="484E277B"/>
    <w:rsid w:val="70EB2F77"/>
    <w:rsid w:val="74CE16E2"/>
    <w:rsid w:val="76085468"/>
    <w:rsid w:val="76F31C74"/>
    <w:rsid w:val="7F3D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customStyle="1" w:styleId="4">
    <w:name w:val="报告正文"/>
    <w:basedOn w:val="1"/>
    <w:qFormat/>
    <w:uiPriority w:val="0"/>
    <w:pPr>
      <w:tabs>
        <w:tab w:val="left" w:pos="0"/>
      </w:tabs>
    </w:pPr>
    <w:rPr>
      <w:color w:val="000000"/>
    </w:rPr>
  </w:style>
  <w:style w:type="paragraph" w:styleId="6">
    <w:name w:val="Normal Indent"/>
    <w:basedOn w:val="1"/>
    <w:next w:val="5"/>
    <w:qFormat/>
    <w:uiPriority w:val="0"/>
    <w:pPr>
      <w:ind w:firstLine="420"/>
    </w:pPr>
    <w:rPr>
      <w:rFonts w:ascii="Calibri" w:hAnsi="Calibri" w:cs="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qFormat/>
    <w:uiPriority w:val="99"/>
    <w:rPr>
      <w:sz w:val="21"/>
    </w:rPr>
  </w:style>
  <w:style w:type="paragraph" w:customStyle="1" w:styleId="13">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1872</Words>
  <Characters>2068</Characters>
  <Lines>0</Lines>
  <Paragraphs>0</Paragraphs>
  <TotalTime>0</TotalTime>
  <ScaleCrop>false</ScaleCrop>
  <LinksUpToDate>false</LinksUpToDate>
  <CharactersWithSpaces>2257</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2024-06-25T02:05:00Z</cp:lastPrinted>
  <dcterms:modified xsi:type="dcterms:W3CDTF">2024-07-08T08:43:12Z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BF499D28E6DB434584EEF866B7458CDC_13</vt:lpwstr>
  </property>
</Properties>
</file>