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60" w:firstLineChars="350"/>
        <w:rPr>
          <w:rFonts w:hint="eastAsia"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-297180</wp:posOffset>
            </wp:positionV>
            <wp:extent cx="635000" cy="594360"/>
            <wp:effectExtent l="0" t="0" r="12700" b="15240"/>
            <wp:wrapSquare wrapText="bothSides"/>
            <wp:docPr id="1" name="图片 2" descr="无标题 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无标题 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eastAsia="仿宋_GB2312"/>
          <w:sz w:val="36"/>
          <w:szCs w:val="36"/>
        </w:rPr>
        <w:t>卫  生  行  政  执  法 文 书</w:t>
      </w:r>
    </w:p>
    <w:tbl>
      <w:tblPr>
        <w:tblStyle w:val="4"/>
        <w:tblpPr w:leftFromText="180" w:rightFromText="180" w:vertAnchor="text" w:horzAnchor="margin" w:tblpXSpec="center" w:tblpY="166"/>
        <w:tblOverlap w:val="never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0" w:hRule="atLeast"/>
        </w:trPr>
        <w:tc>
          <w:tcPr>
            <w:tcW w:w="946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3"/>
              <w:spacing w:line="160" w:lineRule="exact"/>
              <w:jc w:val="center"/>
              <w:rPr>
                <w:rFonts w:hint="eastAsia" w:ascii="黑体" w:eastAsia="黑体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bookmarkStart w:id="0" w:name="_GoBack"/>
          </w:p>
          <w:p>
            <w:pPr>
              <w:pStyle w:val="3"/>
              <w:jc w:val="center"/>
              <w:rPr>
                <w:rFonts w:hint="eastAsia" w:ascii="黑体" w:eastAsia="黑体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黑体" w:eastAsia="黑体"/>
                <w:b/>
                <w:bCs/>
                <w:color w:val="auto"/>
                <w:sz w:val="32"/>
                <w:szCs w:val="32"/>
                <w:highlight w:val="none"/>
                <w:lang w:val="en-US" w:eastAsia="zh-CN"/>
              </w:rPr>
              <w:t>行政处罚决定书</w:t>
            </w:r>
          </w:p>
          <w:p>
            <w:pPr>
              <w:pStyle w:val="3"/>
              <w:spacing w:before="100" w:line="400" w:lineRule="exact"/>
              <w:rPr>
                <w:rFonts w:hint="eastAsia" w:ascii="仿宋_GB2312" w:hAnsi="仿宋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highlight w:val="none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鹿卫医罚〔2025〕1号</w:t>
            </w:r>
          </w:p>
          <w:p>
            <w:pPr>
              <w:pStyle w:val="3"/>
              <w:spacing w:before="100" w:line="160" w:lineRule="exact"/>
              <w:rPr>
                <w:rFonts w:hint="eastAsia" w:ascii="仿宋_GB2312" w:hAnsi="仿宋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被处罚人：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许强，男，汉族，公民身份号码：45092320******6014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住址：广西博白县宁潭镇杨旗村**队***号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仿宋_GB2312" w:hAnsi="仿宋" w:eastAsia="仿宋_GB2312"/>
                <w:color w:val="auto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地址：广西鹿寨县四排镇建学街56号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color w:val="auto"/>
                <w:sz w:val="18"/>
                <w:szCs w:val="18"/>
                <w:highlight w:val="none"/>
                <w:u w:val="none"/>
                <w:lang w:eastAsia="zh-CN"/>
              </w:rPr>
              <w:t xml:space="preserve"> 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lang w:val="en-US" w:eastAsia="zh-CN"/>
              </w:rPr>
              <w:t>本机关依法查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明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许强未取得《医师资格证书》、《医师执业证书》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highlight w:val="none"/>
                <w:u w:val="single"/>
                <w:lang w:val="en-US" w:eastAsia="zh-CN" w:bidi="ar-SA"/>
              </w:rPr>
              <w:t>于2024年11月2日至2024年11月06日在鹿寨县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四排镇建学街56号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>广西鹿寨县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智恩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</w:rPr>
              <w:t>口腔有限公司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四排智恩口腔诊所擅自开展诊疗活动 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360" w:firstLineChars="150"/>
              <w:textAlignment w:val="auto"/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highlight w:val="none"/>
              </w:rPr>
              <w:t>以上事实有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《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现场笔录》1份3页、《询问笔录》3份7页、《卫生监督意见书》1份1页、指认图片1份1页、《居民身份证》图片3份3页、检查图片4张，《执业证书》图片2份4页，宣传画1份2页《营业执照》图片1份1页，《诊所备案登记证》图片1份1页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highlight w:val="none"/>
                <w:u w:val="single"/>
              </w:rPr>
              <w:t>为证。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ind w:firstLine="480" w:firstLineChars="200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你违反了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u w:val="single"/>
              </w:rPr>
              <w:t>《中华人民共和国医师法》</w:t>
            </w:r>
            <w:r>
              <w:rPr>
                <w:rFonts w:hint="eastAsia" w:ascii="仿宋_GB2312" w:hAnsi="宋体" w:eastAsia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第十二条“医师资格考试成绩合格，取得执业医师资格或者执业助理医师资格，发给医师资格证书”、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u w:val="single"/>
              </w:rPr>
              <w:t>第十三条第四款“未注册取得医师执业证书，不得从事医师执业活动。”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>的规定。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340" w:lineRule="exact"/>
              <w:ind w:firstLine="480" w:firstLineChars="200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现依据《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u w:val="single"/>
              </w:rPr>
              <w:t xml:space="preserve">中华人民共和国医师法》第五十九条“违反本法规定，非医师行医的，由县级以上人民政府卫生健康主管部门责令停止非法执业活动，没收违法所得和药品、医疗器械，并处违法所得二倍以上十倍以下的罚款，违法所得不足一万元的，按一万元计算”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的规定，并依据</w:t>
            </w:r>
            <w:r>
              <w:rPr>
                <w:rFonts w:hint="eastAsia" w:ascii="仿宋_GB2312" w:eastAsia="仿宋_GB2312"/>
                <w:color w:val="auto"/>
                <w:sz w:val="24"/>
                <w:szCs w:val="24"/>
                <w:highlight w:val="none"/>
                <w:u w:val="single"/>
              </w:rPr>
              <w:t>《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highlight w:val="none"/>
                <w:u w:val="single"/>
              </w:rPr>
              <w:t>广西壮族自治区卫生健康行政处罚裁量权基准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highlight w:val="none"/>
                <w:u w:val="single"/>
                <w:lang w:eastAsia="zh-CN"/>
              </w:rPr>
              <w:t>》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highlight w:val="none"/>
                <w:u w:val="single"/>
              </w:rPr>
              <w:t>（医疗卫生）序号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  <w:t>15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highlight w:val="none"/>
                <w:u w:val="single"/>
              </w:rPr>
              <w:t>之“从轻处罚”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情形裁量，决定予以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lang w:val="en-US" w:eastAsia="zh-CN"/>
              </w:rPr>
              <w:t>你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u w:val="single"/>
              </w:rPr>
              <w:t>处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u w:val="single"/>
                <w:lang w:val="en-US" w:eastAsia="zh-CN"/>
              </w:rPr>
              <w:t>20</w:t>
            </w:r>
            <w:r>
              <w:rPr>
                <w:rFonts w:hint="eastAsia" w:ascii="仿宋_GB2312" w:hAnsi="宋体" w:eastAsia="仿宋_GB2312"/>
                <w:color w:val="auto"/>
                <w:sz w:val="24"/>
                <w:highlight w:val="none"/>
                <w:u w:val="single"/>
              </w:rPr>
              <w:t>000元(人民币)罚款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</w:rPr>
              <w:t>的行政处罚。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56" w:line="340" w:lineRule="exact"/>
              <w:ind w:firstLine="480" w:firstLineChars="200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highlight w:val="none"/>
                <w:u w:val="single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罚款于收到本决定书之日起15日内缴至</w:t>
            </w: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  <w:u w:val="single"/>
              </w:rPr>
              <w:t>　广西鹿寨农村商业银行股份有限公司城南分理处（账户名称：鹿寨县财政局非税收入专户；账号：205712010100941976）</w:t>
            </w: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  <w:u w:val="single"/>
                <w:lang w:eastAsia="zh-CN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56" w:line="340" w:lineRule="exact"/>
              <w:ind w:firstLine="480" w:firstLineChars="200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逾期不缴纳罚款的，依据《中华人民共和国行政处罚法》第七十二条第一款第（一）项规定，每日按罚款数额的3%加处罚款。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0" w:after="156" w:line="340" w:lineRule="exact"/>
              <w:ind w:firstLine="480" w:firstLineChars="200"/>
              <w:textAlignment w:val="auto"/>
              <w:rPr>
                <w:rFonts w:hint="eastAsia" w:ascii="仿宋_GB2312" w:hAnsi="仿宋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如不服本处罚决定，可在收到本处罚决定书之日起60日内向</w:t>
            </w: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  <w:u w:val="single"/>
              </w:rPr>
              <w:t xml:space="preserve">  鹿寨县 </w:t>
            </w: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人民政府申请行政复议，或者6个月内向</w:t>
            </w: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  <w:u w:val="single"/>
              </w:rPr>
              <w:t>柳州市柳南区人民法院或鹿寨县人民法院</w:t>
            </w:r>
            <w:r>
              <w:rPr>
                <w:rFonts w:hint="eastAsia" w:ascii="仿宋_GB2312" w:hAnsi="仿宋" w:eastAsia="仿宋_GB2312"/>
                <w:color w:val="auto"/>
                <w:sz w:val="24"/>
                <w:highlight w:val="none"/>
              </w:rPr>
              <w:t>起诉，但不得停止执行本处罚决定。逾期不申请行政复议也不向人民法院起诉，又不履行处罚决定的，本机关将依法申请人民法院强制执行。</w:t>
            </w: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           </w:t>
            </w:r>
          </w:p>
          <w:p>
            <w:pPr>
              <w:pStyle w:val="3"/>
              <w:spacing w:before="100" w:after="156" w:line="300" w:lineRule="exact"/>
              <w:ind w:firstLine="6120" w:firstLineChars="2550"/>
              <w:rPr>
                <w:rFonts w:hint="eastAsia" w:ascii="仿宋_GB2312" w:hAnsi="仿宋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鹿寨县卫生健康局（盖章）</w:t>
            </w:r>
          </w:p>
          <w:p>
            <w:pPr>
              <w:pStyle w:val="3"/>
              <w:spacing w:before="100" w:after="156" w:line="300" w:lineRule="exact"/>
              <w:ind w:firstLine="2730"/>
              <w:rPr>
                <w:rFonts w:hint="eastAsia" w:ascii="仿宋_GB2312" w:hAnsi="仿宋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  2025年 3 月19日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946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3"/>
              <w:rPr>
                <w:rFonts w:hint="eastAsia"/>
                <w:color w:val="auto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备注：本决定书一式二联，第一联留存执法案卷，第二联交当事人。</w:t>
            </w:r>
          </w:p>
        </w:tc>
      </w:tr>
      <w:bookmarkEnd w:id="0"/>
    </w:tbl>
    <w:p>
      <w:pPr>
        <w:pStyle w:val="3"/>
        <w:ind w:right="480"/>
        <w:jc w:val="center"/>
      </w:pPr>
      <w:r>
        <w:rPr>
          <w:rFonts w:hint="eastAsia" w:ascii="仿宋" w:hAnsi="仿宋" w:eastAsia="仿宋"/>
          <w:sz w:val="24"/>
          <w:szCs w:val="24"/>
          <w:lang w:eastAsia="zh-CN"/>
        </w:rPr>
        <w:t xml:space="preserve">                                 </w:t>
      </w:r>
      <w:r>
        <w:rPr>
          <w:rFonts w:hint="eastAsia" w:ascii="黑体" w:hAnsi="黑体" w:eastAsia="黑体"/>
          <w:szCs w:val="21"/>
          <w:lang w:eastAsia="zh-CN"/>
        </w:rPr>
        <w:t>中华人民共和国国家卫生健康委员会制定</w:t>
      </w:r>
    </w:p>
    <w:sectPr>
      <w:pgSz w:w="11906" w:h="16838"/>
      <w:pgMar w:top="1440" w:right="1800" w:bottom="115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zNzkyMDRlNmE0ZmYxNjdhMGIwZWQyYjhkYjJlNDgifQ=="/>
  </w:docVars>
  <w:rsids>
    <w:rsidRoot w:val="492837C0"/>
    <w:rsid w:val="0F3D63DD"/>
    <w:rsid w:val="11790E09"/>
    <w:rsid w:val="232D371B"/>
    <w:rsid w:val="23FE1AD5"/>
    <w:rsid w:val="3B291054"/>
    <w:rsid w:val="492837C0"/>
    <w:rsid w:val="4AD73F3E"/>
    <w:rsid w:val="4E4F3CFF"/>
    <w:rsid w:val="50172939"/>
    <w:rsid w:val="50EB3CA8"/>
    <w:rsid w:val="591F781C"/>
    <w:rsid w:val="5A53777D"/>
    <w:rsid w:val="5CC52489"/>
    <w:rsid w:val="733E20E5"/>
    <w:rsid w:val="7478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1081</Words>
  <Characters>1174</Characters>
  <Lines>0</Lines>
  <Paragraphs>0</Paragraphs>
  <TotalTime>15</TotalTime>
  <ScaleCrop>false</ScaleCrop>
  <LinksUpToDate>false</LinksUpToDate>
  <CharactersWithSpaces>1567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2024-04-09T00:53:00Z</dcterms:created>
  <dc:creator>user</dc:creator>
  <cp:lastModifiedBy>小罗</cp:lastModifiedBy>
  <cp:lastPrinted>2024-04-15T01:19:00Z</cp:lastPrinted>
  <dcterms:modified xsi:type="dcterms:W3CDTF">2025-03-27T03:30:11Z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C5DEC39F7D634CA69CFF4536B0E62E2B_11</vt:lpwstr>
  </property>
  <property fmtid="{D5CDD505-2E9C-101B-9397-08002B2CF9AE}" pid="4" name="KSOTemplateDocerSaveRecord">
    <vt:lpwstr>eyJoZGlkIjoiMmQzNzkyMDRlNmE0ZmYxNjdhMGIwZWQyYjhkYjJlNDgifQ==</vt:lpwstr>
  </property>
</Properties>
</file>