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9" w:lineRule="atLeast"/>
        <w:ind w:left="0" w:right="0" w:firstLine="0"/>
        <w:jc w:val="center"/>
        <w:rPr>
          <w:rFonts w:ascii="微软雅黑" w:hAnsi="微软雅黑" w:eastAsia="微软雅黑" w:cs="微软雅黑"/>
          <w:i w:val="0"/>
          <w:iCs w:val="0"/>
          <w:caps w:val="0"/>
          <w:color w:val="333333"/>
          <w:spacing w:val="0"/>
          <w:sz w:val="19"/>
          <w:szCs w:val="19"/>
        </w:rPr>
      </w:pPr>
      <w:bookmarkStart w:id="0" w:name="_GoBack"/>
      <w:r>
        <w:rPr>
          <w:rStyle w:val="5"/>
          <w:rFonts w:hint="eastAsia" w:ascii="微软雅黑" w:hAnsi="微软雅黑" w:eastAsia="微软雅黑" w:cs="微软雅黑"/>
          <w:b/>
          <w:bCs/>
          <w:i w:val="0"/>
          <w:iCs w:val="0"/>
          <w:caps w:val="0"/>
          <w:color w:val="333333"/>
          <w:spacing w:val="0"/>
          <w:sz w:val="44"/>
          <w:szCs w:val="44"/>
          <w:bdr w:val="none" w:color="auto" w:sz="0" w:space="0"/>
          <w:shd w:val="clear" w:fill="FFFFFF"/>
        </w:rPr>
        <w:t>鹿寨县</w:t>
      </w:r>
      <w:r>
        <w:rPr>
          <w:rStyle w:val="5"/>
          <w:rFonts w:hint="eastAsia" w:ascii="宋体" w:hAnsi="宋体" w:eastAsia="宋体" w:cs="宋体"/>
          <w:b/>
          <w:bCs/>
          <w:i w:val="0"/>
          <w:iCs w:val="0"/>
          <w:caps w:val="0"/>
          <w:color w:val="333333"/>
          <w:spacing w:val="0"/>
          <w:sz w:val="44"/>
          <w:szCs w:val="44"/>
          <w:bdr w:val="none" w:color="auto" w:sz="0" w:space="0"/>
          <w:shd w:val="clear" w:fill="FFFFFF"/>
        </w:rPr>
        <w:t>2021</w:t>
      </w:r>
      <w:r>
        <w:rPr>
          <w:rStyle w:val="5"/>
          <w:rFonts w:hint="eastAsia" w:ascii="微软雅黑" w:hAnsi="微软雅黑" w:eastAsia="微软雅黑" w:cs="微软雅黑"/>
          <w:b/>
          <w:bCs/>
          <w:i w:val="0"/>
          <w:iCs w:val="0"/>
          <w:caps w:val="0"/>
          <w:color w:val="333333"/>
          <w:spacing w:val="0"/>
          <w:sz w:val="44"/>
          <w:szCs w:val="44"/>
          <w:bdr w:val="none" w:color="auto" w:sz="0" w:space="0"/>
          <w:shd w:val="clear" w:fill="FFFFFF"/>
        </w:rPr>
        <w:t>年国民经济和社会发展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39" w:lineRule="atLeast"/>
        <w:ind w:left="0" w:right="0" w:firstLine="0"/>
        <w:jc w:val="center"/>
        <w:rPr>
          <w:rFonts w:hint="eastAsia" w:ascii="微软雅黑" w:hAnsi="微软雅黑" w:eastAsia="微软雅黑" w:cs="微软雅黑"/>
          <w:i w:val="0"/>
          <w:iCs w:val="0"/>
          <w:caps w:val="0"/>
          <w:color w:val="333333"/>
          <w:spacing w:val="0"/>
          <w:sz w:val="19"/>
          <w:szCs w:val="19"/>
        </w:rPr>
      </w:pPr>
      <w:r>
        <w:rPr>
          <w:rStyle w:val="5"/>
          <w:rFonts w:hint="eastAsia" w:ascii="微软雅黑" w:hAnsi="微软雅黑" w:eastAsia="微软雅黑" w:cs="微软雅黑"/>
          <w:b/>
          <w:bCs/>
          <w:i w:val="0"/>
          <w:iCs w:val="0"/>
          <w:caps w:val="0"/>
          <w:color w:val="333333"/>
          <w:spacing w:val="0"/>
          <w:sz w:val="44"/>
          <w:szCs w:val="44"/>
          <w:bdr w:val="none" w:color="auto" w:sz="0" w:space="0"/>
          <w:shd w:val="clear" w:fill="FFFFFF"/>
        </w:rPr>
        <w:t>统计公报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jc w:val="left"/>
        <w:rPr>
          <w:rFonts w:hint="eastAsia" w:ascii="微软雅黑" w:hAnsi="微软雅黑" w:eastAsia="微软雅黑" w:cs="微软雅黑"/>
          <w:i w:val="0"/>
          <w:iCs w:val="0"/>
          <w:caps w:val="0"/>
          <w:color w:val="333333"/>
          <w:spacing w:val="0"/>
          <w:sz w:val="19"/>
          <w:szCs w:val="19"/>
        </w:rPr>
      </w:pPr>
      <w:r>
        <w:rPr>
          <w:rFonts w:ascii="仿宋_GB2312" w:hAnsi="Times New Roman" w:eastAsia="仿宋_GB2312" w:cs="仿宋_GB2312"/>
          <w:i w:val="0"/>
          <w:iCs w:val="0"/>
          <w:caps w:val="0"/>
          <w:color w:val="333333"/>
          <w:spacing w:val="0"/>
          <w:sz w:val="32"/>
          <w:szCs w:val="32"/>
          <w:bdr w:val="none" w:color="auto" w:sz="0" w:space="0"/>
          <w:shd w:val="clear" w:fill="FFFFFF"/>
        </w:rPr>
        <w:t>202</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w:t>
      </w:r>
      <w:r>
        <w:rPr>
          <w:rFonts w:hint="eastAsia" w:ascii="仿宋_GB2312" w:hAnsi="微软雅黑" w:eastAsia="仿宋_GB2312" w:cs="仿宋_GB2312"/>
          <w:i w:val="0"/>
          <w:iCs w:val="0"/>
          <w:caps w:val="0"/>
          <w:color w:val="333333"/>
          <w:spacing w:val="0"/>
          <w:sz w:val="32"/>
          <w:szCs w:val="32"/>
          <w:bdr w:val="none" w:color="auto" w:sz="0" w:space="0"/>
          <w:shd w:val="clear" w:fill="FFFFFF"/>
        </w:rPr>
        <w:t>年，面对严峻复杂的国内外经济发展环境和新冠肺炎疫情的严重冲击，鹿寨县在上级党委、政府的正确领导下，坚持以习近平新时代中国特色社会主义思想为指导，坚持稳中求进工作总基调，全面落实中央、自治区和柳州市关于统筹推进疫情防控和经济社会发展各项决策部署，立足鹿寨区位和资源优势，切实抓好产业谋划、园区建设和项目推进，攻坚克难勇担当、争先突破善作为，全县经济持续恢复，各方面发展逐渐向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ascii="黑体" w:hAnsi="宋体" w:eastAsia="黑体" w:cs="黑体"/>
          <w:i w:val="0"/>
          <w:iCs w:val="0"/>
          <w:caps w:val="0"/>
          <w:color w:val="333333"/>
          <w:spacing w:val="0"/>
          <w:sz w:val="32"/>
          <w:szCs w:val="32"/>
          <w:bdr w:val="none" w:color="auto" w:sz="0" w:space="0"/>
          <w:shd w:val="clear" w:fill="FFFFFF"/>
        </w:rPr>
        <w:t>一、综合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jc w:val="left"/>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初步核算，全年全县生产总值（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GDP</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172.28</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亿元，按可比价格计算，比上年增长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0.3%</w:t>
      </w:r>
      <w:r>
        <w:rPr>
          <w:rFonts w:hint="eastAsia" w:ascii="仿宋_GB2312" w:hAnsi="微软雅黑" w:eastAsia="仿宋_GB2312" w:cs="仿宋_GB2312"/>
          <w:i w:val="0"/>
          <w:iCs w:val="0"/>
          <w:caps w:val="0"/>
          <w:color w:val="333333"/>
          <w:spacing w:val="0"/>
          <w:sz w:val="32"/>
          <w:szCs w:val="32"/>
          <w:bdr w:val="none" w:color="auto" w:sz="0" w:space="0"/>
          <w:shd w:val="clear" w:fill="FFFFFF"/>
        </w:rPr>
        <w:t>。分产业看，第一产业增加值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43.95</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7.6%</w:t>
      </w:r>
      <w:r>
        <w:rPr>
          <w:rFonts w:hint="eastAsia" w:ascii="仿宋_GB2312" w:hAnsi="微软雅黑" w:eastAsia="仿宋_GB2312" w:cs="仿宋_GB2312"/>
          <w:i w:val="0"/>
          <w:iCs w:val="0"/>
          <w:caps w:val="0"/>
          <w:color w:val="333333"/>
          <w:spacing w:val="0"/>
          <w:sz w:val="32"/>
          <w:szCs w:val="32"/>
          <w:bdr w:val="none" w:color="auto" w:sz="0" w:space="0"/>
          <w:shd w:val="clear" w:fill="FFFFFF"/>
        </w:rPr>
        <w:t>；第二产业增加值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51.72</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9.8%</w:t>
      </w:r>
      <w:r>
        <w:rPr>
          <w:rFonts w:hint="eastAsia" w:ascii="仿宋_GB2312" w:hAnsi="微软雅黑" w:eastAsia="仿宋_GB2312" w:cs="仿宋_GB2312"/>
          <w:i w:val="0"/>
          <w:iCs w:val="0"/>
          <w:caps w:val="0"/>
          <w:color w:val="333333"/>
          <w:spacing w:val="0"/>
          <w:sz w:val="32"/>
          <w:szCs w:val="32"/>
          <w:bdr w:val="none" w:color="auto" w:sz="0" w:space="0"/>
          <w:shd w:val="clear" w:fill="FFFFFF"/>
        </w:rPr>
        <w:t>；第三产业增加值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76.60</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4.9%</w:t>
      </w:r>
      <w:r>
        <w:rPr>
          <w:rFonts w:hint="eastAsia" w:ascii="仿宋_GB2312" w:hAnsi="微软雅黑" w:eastAsia="仿宋_GB2312" w:cs="仿宋_GB2312"/>
          <w:i w:val="0"/>
          <w:iCs w:val="0"/>
          <w:caps w:val="0"/>
          <w:color w:val="333333"/>
          <w:spacing w:val="0"/>
          <w:sz w:val="32"/>
          <w:szCs w:val="32"/>
          <w:bdr w:val="none" w:color="auto" w:sz="0" w:space="0"/>
          <w:shd w:val="clear" w:fill="FFFFFF"/>
        </w:rPr>
        <w:t>。第一、二、三产业增加值占地区生产总值比重分别为</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25.5%</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30.0%</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44.5%</w:t>
      </w:r>
      <w:r>
        <w:rPr>
          <w:rFonts w:hint="eastAsia" w:ascii="仿宋_GB2312" w:hAnsi="微软雅黑" w:eastAsia="仿宋_GB2312" w:cs="仿宋_GB2312"/>
          <w:i w:val="0"/>
          <w:iCs w:val="0"/>
          <w:caps w:val="0"/>
          <w:color w:val="333333"/>
          <w:spacing w:val="0"/>
          <w:sz w:val="32"/>
          <w:szCs w:val="32"/>
          <w:bdr w:val="none" w:color="auto" w:sz="0" w:space="0"/>
          <w:shd w:val="clear" w:fill="FFFFFF"/>
        </w:rPr>
        <w:t>，第三产业占比大，拉动经济增长的作用明显。按常住人口计算，全年人均地区生产总值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50978</w:t>
      </w:r>
      <w:r>
        <w:rPr>
          <w:rFonts w:hint="eastAsia" w:ascii="仿宋_GB2312" w:hAnsi="微软雅黑" w:eastAsia="仿宋_GB2312" w:cs="仿宋_GB2312"/>
          <w:i w:val="0"/>
          <w:iCs w:val="0"/>
          <w:caps w:val="0"/>
          <w:color w:val="333333"/>
          <w:spacing w:val="0"/>
          <w:sz w:val="32"/>
          <w:szCs w:val="32"/>
          <w:bdr w:val="none" w:color="auto" w:sz="0" w:space="0"/>
          <w:shd w:val="clear" w:fill="FFFFFF"/>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2021</w:t>
      </w:r>
      <w:r>
        <w:rPr>
          <w:rFonts w:hint="eastAsia" w:ascii="仿宋_GB2312" w:hAnsi="微软雅黑" w:eastAsia="仿宋_GB2312" w:cs="仿宋_GB2312"/>
          <w:i w:val="0"/>
          <w:iCs w:val="0"/>
          <w:caps w:val="0"/>
          <w:color w:val="333333"/>
          <w:spacing w:val="0"/>
          <w:sz w:val="32"/>
          <w:szCs w:val="32"/>
          <w:bdr w:val="none" w:color="auto" w:sz="0" w:space="0"/>
          <w:shd w:val="clear" w:fill="FFFFFF"/>
        </w:rPr>
        <w:t>年年末全县户籍总人口</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41.24</w:t>
      </w:r>
      <w:r>
        <w:rPr>
          <w:rFonts w:hint="eastAsia" w:ascii="仿宋_GB2312" w:hAnsi="微软雅黑" w:eastAsia="仿宋_GB2312" w:cs="仿宋_GB2312"/>
          <w:i w:val="0"/>
          <w:iCs w:val="0"/>
          <w:caps w:val="0"/>
          <w:color w:val="333333"/>
          <w:spacing w:val="0"/>
          <w:sz w:val="32"/>
          <w:szCs w:val="32"/>
          <w:bdr w:val="none" w:color="auto" w:sz="0" w:space="0"/>
          <w:shd w:val="clear" w:fill="FFFFFF"/>
        </w:rPr>
        <w:t>万人，总户数</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11.70</w:t>
      </w:r>
      <w:r>
        <w:rPr>
          <w:rFonts w:hint="eastAsia" w:ascii="仿宋_GB2312" w:hAnsi="微软雅黑" w:eastAsia="仿宋_GB2312" w:cs="仿宋_GB2312"/>
          <w:i w:val="0"/>
          <w:iCs w:val="0"/>
          <w:caps w:val="0"/>
          <w:color w:val="333333"/>
          <w:spacing w:val="0"/>
          <w:sz w:val="32"/>
          <w:szCs w:val="32"/>
          <w:bdr w:val="none" w:color="auto" w:sz="0" w:space="0"/>
          <w:shd w:val="clear" w:fill="FFFFFF"/>
        </w:rPr>
        <w:t>万户，其中城镇人口</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17.08</w:t>
      </w:r>
      <w:r>
        <w:rPr>
          <w:rFonts w:hint="eastAsia" w:ascii="仿宋_GB2312" w:hAnsi="微软雅黑" w:eastAsia="仿宋_GB2312" w:cs="仿宋_GB2312"/>
          <w:i w:val="0"/>
          <w:iCs w:val="0"/>
          <w:caps w:val="0"/>
          <w:color w:val="333333"/>
          <w:spacing w:val="0"/>
          <w:sz w:val="32"/>
          <w:szCs w:val="32"/>
          <w:bdr w:val="none" w:color="auto" w:sz="0" w:space="0"/>
          <w:shd w:val="clear" w:fill="FFFFFF"/>
        </w:rPr>
        <w:t>万人。年末常住人口</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33.82</w:t>
      </w:r>
      <w:r>
        <w:rPr>
          <w:rFonts w:hint="eastAsia" w:ascii="仿宋_GB2312" w:hAnsi="微软雅黑" w:eastAsia="仿宋_GB2312" w:cs="仿宋_GB2312"/>
          <w:i w:val="0"/>
          <w:iCs w:val="0"/>
          <w:caps w:val="0"/>
          <w:color w:val="333333"/>
          <w:spacing w:val="0"/>
          <w:sz w:val="32"/>
          <w:szCs w:val="32"/>
          <w:bdr w:val="none" w:color="auto" w:sz="0" w:space="0"/>
          <w:shd w:val="clear" w:fill="FFFFFF"/>
        </w:rPr>
        <w:t>万人，常住人口城镇化率</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55.91%</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641"/>
        <w:rPr>
          <w:rFonts w:hint="eastAsia" w:ascii="微软雅黑" w:hAnsi="微软雅黑" w:eastAsia="微软雅黑" w:cs="微软雅黑"/>
          <w:i w:val="0"/>
          <w:iCs w:val="0"/>
          <w:caps w:val="0"/>
          <w:color w:val="333333"/>
          <w:spacing w:val="0"/>
          <w:sz w:val="19"/>
          <w:szCs w:val="19"/>
        </w:rPr>
      </w:pPr>
    </w:p>
    <w:tbl>
      <w:tblPr>
        <w:tblW w:w="7095"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886"/>
        <w:gridCol w:w="2150"/>
        <w:gridCol w:w="205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211" w:hRule="atLeast"/>
          <w:jc w:val="center"/>
        </w:trPr>
        <w:tc>
          <w:tcPr>
            <w:tcW w:w="7080" w:type="dxa"/>
            <w:gridSpan w:val="3"/>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19"/>
                <w:szCs w:val="19"/>
              </w:rPr>
            </w:pPr>
            <w:r>
              <w:rPr>
                <w:rStyle w:val="5"/>
                <w:b/>
                <w:bCs/>
                <w:sz w:val="24"/>
                <w:szCs w:val="24"/>
                <w:bdr w:val="none" w:color="auto" w:sz="0" w:space="0"/>
              </w:rPr>
              <w:t>年末户籍人口及构成情况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11" w:hRule="atLeast"/>
          <w:jc w:val="center"/>
        </w:trPr>
        <w:tc>
          <w:tcPr>
            <w:tcW w:w="2880" w:type="dxa"/>
            <w:tcBorders>
              <w:top w:val="single" w:color="000000" w:sz="6" w:space="0"/>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19"/>
                <w:szCs w:val="19"/>
              </w:rPr>
            </w:pPr>
            <w:r>
              <w:rPr>
                <w:sz w:val="24"/>
                <w:szCs w:val="24"/>
                <w:bdr w:val="none" w:color="auto" w:sz="0" w:space="0"/>
              </w:rPr>
              <w:t>指标</w:t>
            </w:r>
          </w:p>
        </w:tc>
        <w:tc>
          <w:tcPr>
            <w:tcW w:w="2145" w:type="dxa"/>
            <w:tcBorders>
              <w:top w:val="single" w:color="000000" w:sz="6" w:space="0"/>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19"/>
                <w:szCs w:val="19"/>
              </w:rPr>
            </w:pPr>
            <w:r>
              <w:rPr>
                <w:sz w:val="24"/>
                <w:szCs w:val="24"/>
                <w:bdr w:val="none" w:color="auto" w:sz="0" w:space="0"/>
              </w:rPr>
              <w:t>年末数（万人）</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19"/>
                <w:szCs w:val="19"/>
              </w:rPr>
            </w:pPr>
            <w:r>
              <w:rPr>
                <w:sz w:val="24"/>
                <w:szCs w:val="24"/>
                <w:bdr w:val="none" w:color="auto" w:sz="0" w:space="0"/>
              </w:rPr>
              <w:t>比重（</w:t>
            </w:r>
            <w:r>
              <w:rPr>
                <w:rFonts w:hint="eastAsia" w:ascii="宋体" w:hAnsi="宋体" w:eastAsia="宋体" w:cs="宋体"/>
                <w:sz w:val="24"/>
                <w:szCs w:val="24"/>
                <w:bdr w:val="none" w:color="auto" w:sz="0" w:space="0"/>
              </w:rPr>
              <w:t>%</w:t>
            </w:r>
            <w:r>
              <w:rPr>
                <w:sz w:val="24"/>
                <w:szCs w:val="24"/>
                <w:bdr w:val="none" w:color="auto" w:sz="0" w:space="0"/>
              </w:rPr>
              <w:t>）</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880"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19"/>
                <w:szCs w:val="19"/>
              </w:rPr>
            </w:pPr>
            <w:r>
              <w:rPr>
                <w:sz w:val="24"/>
                <w:szCs w:val="24"/>
                <w:bdr w:val="none" w:color="auto" w:sz="0" w:space="0"/>
              </w:rPr>
              <w:t>总人口</w:t>
            </w:r>
          </w:p>
        </w:tc>
        <w:tc>
          <w:tcPr>
            <w:tcW w:w="2145"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41.24</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sz w:val="24"/>
                <w:szCs w:val="24"/>
                <w:bdr w:val="none" w:color="auto" w:sz="0" w:space="0"/>
              </w:rPr>
              <w:t>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880"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19"/>
                <w:szCs w:val="19"/>
              </w:rPr>
            </w:pPr>
            <w:r>
              <w:rPr>
                <w:sz w:val="24"/>
                <w:szCs w:val="24"/>
                <w:bdr w:val="none" w:color="auto" w:sz="0" w:space="0"/>
              </w:rPr>
              <w:t>其中：男性</w:t>
            </w:r>
          </w:p>
        </w:tc>
        <w:tc>
          <w:tcPr>
            <w:tcW w:w="2145"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21.71</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sz w:val="24"/>
                <w:szCs w:val="24"/>
                <w:bdr w:val="none" w:color="auto" w:sz="0" w:space="0"/>
              </w:rPr>
              <w:t>52.64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880"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19"/>
                <w:szCs w:val="19"/>
              </w:rPr>
            </w:pPr>
            <w:r>
              <w:rPr>
                <w:sz w:val="24"/>
                <w:szCs w:val="24"/>
                <w:bdr w:val="none" w:color="auto" w:sz="0" w:space="0"/>
              </w:rPr>
              <w:t>女性</w:t>
            </w:r>
          </w:p>
        </w:tc>
        <w:tc>
          <w:tcPr>
            <w:tcW w:w="2145"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19.53</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sz w:val="24"/>
                <w:szCs w:val="24"/>
                <w:bdr w:val="none" w:color="auto" w:sz="0" w:space="0"/>
              </w:rPr>
              <w:t>47.36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880"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19"/>
                <w:szCs w:val="19"/>
              </w:rPr>
            </w:pPr>
            <w:r>
              <w:rPr>
                <w:sz w:val="24"/>
                <w:szCs w:val="24"/>
                <w:bdr w:val="none" w:color="auto" w:sz="0" w:space="0"/>
              </w:rPr>
              <w:t>其中：</w:t>
            </w:r>
            <w:r>
              <w:rPr>
                <w:rFonts w:hint="eastAsia" w:ascii="宋体" w:hAnsi="宋体" w:eastAsia="宋体" w:cs="宋体"/>
                <w:sz w:val="24"/>
                <w:szCs w:val="24"/>
                <w:bdr w:val="none" w:color="auto" w:sz="0" w:space="0"/>
              </w:rPr>
              <w:t>0-17</w:t>
            </w:r>
            <w:r>
              <w:rPr>
                <w:sz w:val="24"/>
                <w:szCs w:val="24"/>
                <w:bdr w:val="none" w:color="auto" w:sz="0" w:space="0"/>
              </w:rPr>
              <w:t>岁</w:t>
            </w:r>
          </w:p>
        </w:tc>
        <w:tc>
          <w:tcPr>
            <w:tcW w:w="2145"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8.54</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20.71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880"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19"/>
                <w:szCs w:val="19"/>
              </w:rPr>
            </w:pPr>
            <w:r>
              <w:rPr>
                <w:rFonts w:hint="eastAsia" w:ascii="宋体" w:hAnsi="宋体" w:eastAsia="宋体" w:cs="宋体"/>
                <w:sz w:val="24"/>
                <w:szCs w:val="24"/>
                <w:bdr w:val="none" w:color="auto" w:sz="0" w:space="0"/>
              </w:rPr>
              <w:t>18-34</w:t>
            </w:r>
            <w:r>
              <w:rPr>
                <w:sz w:val="24"/>
                <w:szCs w:val="24"/>
                <w:bdr w:val="none" w:color="auto" w:sz="0" w:space="0"/>
              </w:rPr>
              <w:t>岁</w:t>
            </w:r>
          </w:p>
        </w:tc>
        <w:tc>
          <w:tcPr>
            <w:tcW w:w="2145"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8.10</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19.64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66" w:hRule="atLeast"/>
          <w:jc w:val="center"/>
        </w:trPr>
        <w:tc>
          <w:tcPr>
            <w:tcW w:w="2880"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19"/>
                <w:szCs w:val="19"/>
              </w:rPr>
            </w:pPr>
            <w:r>
              <w:rPr>
                <w:rFonts w:hint="eastAsia" w:ascii="宋体" w:hAnsi="宋体" w:eastAsia="宋体" w:cs="宋体"/>
                <w:sz w:val="24"/>
                <w:szCs w:val="24"/>
                <w:bdr w:val="none" w:color="auto" w:sz="0" w:space="0"/>
              </w:rPr>
              <w:t>35-59</w:t>
            </w:r>
            <w:r>
              <w:rPr>
                <w:sz w:val="24"/>
                <w:szCs w:val="24"/>
                <w:bdr w:val="none" w:color="auto" w:sz="0" w:space="0"/>
              </w:rPr>
              <w:t>岁</w:t>
            </w:r>
          </w:p>
        </w:tc>
        <w:tc>
          <w:tcPr>
            <w:tcW w:w="2145"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17.25</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41.82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51" w:hRule="atLeast"/>
          <w:jc w:val="center"/>
        </w:trPr>
        <w:tc>
          <w:tcPr>
            <w:tcW w:w="2880"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sz w:val="19"/>
                <w:szCs w:val="19"/>
              </w:rPr>
            </w:pPr>
            <w:r>
              <w:rPr>
                <w:rFonts w:hint="eastAsia" w:ascii="宋体" w:hAnsi="宋体" w:eastAsia="宋体" w:cs="宋体"/>
                <w:sz w:val="24"/>
                <w:szCs w:val="24"/>
                <w:bdr w:val="none" w:color="auto" w:sz="0" w:space="0"/>
              </w:rPr>
              <w:t>60</w:t>
            </w:r>
            <w:r>
              <w:rPr>
                <w:sz w:val="24"/>
                <w:szCs w:val="24"/>
                <w:bdr w:val="none" w:color="auto" w:sz="0" w:space="0"/>
              </w:rPr>
              <w:t>岁及以上</w:t>
            </w:r>
          </w:p>
        </w:tc>
        <w:tc>
          <w:tcPr>
            <w:tcW w:w="2145" w:type="dxa"/>
            <w:tcBorders>
              <w:top w:val="nil"/>
              <w:left w:val="nil"/>
              <w:bottom w:val="single" w:color="000000" w:sz="6" w:space="0"/>
              <w:right w:val="single" w:color="000000" w:sz="6" w:space="0"/>
            </w:tcBorders>
            <w:shd w:val="clear"/>
            <w:tcMar>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7.35</w:t>
            </w:r>
          </w:p>
        </w:tc>
        <w:tc>
          <w:tcPr>
            <w:tcW w:w="1635" w:type="dxa"/>
            <w:tcBorders>
              <w:top w:val="nil"/>
              <w:left w:val="nil"/>
              <w:bottom w:val="single" w:color="000000" w:sz="8" w:space="0"/>
              <w:right w:val="nil"/>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sz w:val="19"/>
                <w:szCs w:val="19"/>
              </w:rPr>
            </w:pPr>
            <w:r>
              <w:rPr>
                <w:rFonts w:hint="eastAsia" w:ascii="宋体" w:hAnsi="宋体" w:eastAsia="宋体" w:cs="宋体"/>
                <w:color w:val="000000"/>
                <w:sz w:val="24"/>
                <w:szCs w:val="24"/>
                <w:bdr w:val="none" w:color="auto" w:sz="0" w:space="0"/>
              </w:rPr>
              <w:t>17.82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42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2"/>
          <w:szCs w:val="32"/>
          <w:bdr w:val="none" w:color="auto" w:sz="0" w:space="0"/>
          <w:shd w:val="clear" w:fill="FFFFFF"/>
        </w:rPr>
        <w:t>二、农业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jc w:val="left"/>
        <w:rPr>
          <w:rFonts w:hint="eastAsia" w:ascii="微软雅黑" w:hAnsi="微软雅黑" w:eastAsia="微软雅黑" w:cs="微软雅黑"/>
          <w:i w:val="0"/>
          <w:iCs w:val="0"/>
          <w:caps w:val="0"/>
          <w:color w:val="333333"/>
          <w:spacing w:val="0"/>
          <w:sz w:val="19"/>
          <w:szCs w:val="19"/>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2021</w:t>
      </w:r>
      <w:r>
        <w:rPr>
          <w:rFonts w:hint="eastAsia" w:ascii="仿宋_GB2312" w:hAnsi="微软雅黑" w:eastAsia="仿宋_GB2312" w:cs="仿宋_GB2312"/>
          <w:i w:val="0"/>
          <w:iCs w:val="0"/>
          <w:caps w:val="0"/>
          <w:color w:val="333333"/>
          <w:spacing w:val="0"/>
          <w:sz w:val="32"/>
          <w:szCs w:val="32"/>
          <w:bdr w:val="none" w:color="auto" w:sz="0" w:space="0"/>
          <w:shd w:val="clear" w:fill="FFFFFF"/>
        </w:rPr>
        <w:t>年，全县农林牧渔业总产值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74.80</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8.7%</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。其中：农业产值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39.12</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5.2%</w:t>
      </w:r>
      <w:r>
        <w:rPr>
          <w:rFonts w:hint="eastAsia" w:ascii="仿宋_GB2312" w:hAnsi="微软雅黑" w:eastAsia="仿宋_GB2312" w:cs="仿宋_GB2312"/>
          <w:i w:val="0"/>
          <w:iCs w:val="0"/>
          <w:caps w:val="0"/>
          <w:color w:val="333333"/>
          <w:spacing w:val="0"/>
          <w:sz w:val="32"/>
          <w:szCs w:val="32"/>
          <w:bdr w:val="none" w:color="auto" w:sz="0" w:space="0"/>
          <w:shd w:val="clear" w:fill="FFFFFF"/>
        </w:rPr>
        <w:t>；林业产值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9.78</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9.6%</w:t>
      </w:r>
      <w:r>
        <w:rPr>
          <w:rFonts w:hint="eastAsia" w:ascii="仿宋_GB2312" w:hAnsi="微软雅黑" w:eastAsia="仿宋_GB2312" w:cs="仿宋_GB2312"/>
          <w:i w:val="0"/>
          <w:iCs w:val="0"/>
          <w:caps w:val="0"/>
          <w:color w:val="333333"/>
          <w:spacing w:val="0"/>
          <w:sz w:val="32"/>
          <w:szCs w:val="32"/>
          <w:bdr w:val="none" w:color="auto" w:sz="0" w:space="0"/>
          <w:shd w:val="clear" w:fill="FFFFFF"/>
        </w:rPr>
        <w:t>；牧业产值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21.53</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15.7%</w:t>
      </w:r>
      <w:r>
        <w:rPr>
          <w:rFonts w:hint="eastAsia" w:ascii="仿宋_GB2312" w:hAnsi="微软雅黑" w:eastAsia="仿宋_GB2312" w:cs="仿宋_GB2312"/>
          <w:i w:val="0"/>
          <w:iCs w:val="0"/>
          <w:caps w:val="0"/>
          <w:color w:val="333333"/>
          <w:spacing w:val="0"/>
          <w:sz w:val="32"/>
          <w:szCs w:val="32"/>
          <w:bdr w:val="none" w:color="auto" w:sz="0" w:space="0"/>
          <w:shd w:val="clear" w:fill="FFFFFF"/>
        </w:rPr>
        <w:t>；渔业产值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1.08</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7.2%</w:t>
      </w:r>
      <w:r>
        <w:rPr>
          <w:rFonts w:hint="eastAsia" w:ascii="仿宋_GB2312" w:hAnsi="微软雅黑" w:eastAsia="仿宋_GB2312" w:cs="仿宋_GB2312"/>
          <w:i w:val="0"/>
          <w:iCs w:val="0"/>
          <w:caps w:val="0"/>
          <w:color w:val="333333"/>
          <w:spacing w:val="0"/>
          <w:sz w:val="32"/>
          <w:szCs w:val="32"/>
          <w:bdr w:val="none" w:color="auto" w:sz="0" w:space="0"/>
          <w:shd w:val="clear" w:fill="FFFFFF"/>
        </w:rPr>
        <w:t>。粮食产量增长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1.4%</w:t>
      </w:r>
      <w:r>
        <w:rPr>
          <w:rFonts w:hint="eastAsia" w:ascii="仿宋_GB2312" w:hAnsi="微软雅黑" w:eastAsia="仿宋_GB2312" w:cs="仿宋_GB2312"/>
          <w:i w:val="0"/>
          <w:iCs w:val="0"/>
          <w:caps w:val="0"/>
          <w:color w:val="333333"/>
          <w:spacing w:val="0"/>
          <w:sz w:val="32"/>
          <w:szCs w:val="32"/>
          <w:bdr w:val="none" w:color="auto" w:sz="0" w:space="0"/>
          <w:shd w:val="clear" w:fill="FFFFFF"/>
        </w:rPr>
        <w:t>；糖料蔗产量增长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3.1%</w:t>
      </w:r>
      <w:r>
        <w:rPr>
          <w:rFonts w:hint="eastAsia" w:ascii="仿宋_GB2312" w:hAnsi="微软雅黑" w:eastAsia="仿宋_GB2312" w:cs="仿宋_GB2312"/>
          <w:i w:val="0"/>
          <w:iCs w:val="0"/>
          <w:caps w:val="0"/>
          <w:color w:val="333333"/>
          <w:spacing w:val="0"/>
          <w:sz w:val="32"/>
          <w:szCs w:val="32"/>
          <w:bdr w:val="none" w:color="auto" w:sz="0" w:space="0"/>
          <w:shd w:val="clear" w:fill="FFFFFF"/>
        </w:rPr>
        <w:t>；蔬菜产量增长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5.5%</w:t>
      </w:r>
      <w:r>
        <w:rPr>
          <w:rFonts w:hint="eastAsia" w:ascii="仿宋_GB2312" w:hAnsi="微软雅黑" w:eastAsia="仿宋_GB2312" w:cs="仿宋_GB2312"/>
          <w:i w:val="0"/>
          <w:iCs w:val="0"/>
          <w:caps w:val="0"/>
          <w:color w:val="333333"/>
          <w:spacing w:val="0"/>
          <w:sz w:val="32"/>
          <w:szCs w:val="32"/>
          <w:bdr w:val="none" w:color="auto" w:sz="0" w:space="0"/>
          <w:shd w:val="clear" w:fill="FFFFFF"/>
        </w:rPr>
        <w:t>；水果产量增长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9.7%</w:t>
      </w:r>
      <w:r>
        <w:rPr>
          <w:rFonts w:hint="eastAsia" w:ascii="仿宋_GB2312" w:hAnsi="微软雅黑" w:eastAsia="仿宋_GB2312" w:cs="仿宋_GB2312"/>
          <w:i w:val="0"/>
          <w:iCs w:val="0"/>
          <w:caps w:val="0"/>
          <w:color w:val="333333"/>
          <w:spacing w:val="0"/>
          <w:sz w:val="32"/>
          <w:szCs w:val="32"/>
          <w:bdr w:val="none" w:color="auto" w:sz="0" w:space="0"/>
          <w:shd w:val="clear" w:fill="FFFFFF"/>
        </w:rPr>
        <w:t>；肉类总产量增长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18.54%,</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其中猪肉产量增长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40.6%</w:t>
      </w:r>
      <w:r>
        <w:rPr>
          <w:rFonts w:hint="eastAsia" w:ascii="仿宋_GB2312" w:hAnsi="微软雅黑" w:eastAsia="仿宋_GB2312" w:cs="仿宋_GB2312"/>
          <w:i w:val="0"/>
          <w:iCs w:val="0"/>
          <w:caps w:val="0"/>
          <w:color w:val="333333"/>
          <w:spacing w:val="0"/>
          <w:sz w:val="32"/>
          <w:szCs w:val="32"/>
          <w:bdr w:val="none" w:color="auto" w:sz="0" w:space="0"/>
          <w:shd w:val="clear" w:fill="FFFFFF"/>
        </w:rPr>
        <w:t>，禽肉产量下降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12.1%</w:t>
      </w:r>
      <w:r>
        <w:rPr>
          <w:rFonts w:hint="eastAsia" w:ascii="仿宋_GB2312" w:hAnsi="微软雅黑" w:eastAsia="仿宋_GB2312" w:cs="仿宋_GB2312"/>
          <w:i w:val="0"/>
          <w:iCs w:val="0"/>
          <w:caps w:val="0"/>
          <w:color w:val="333333"/>
          <w:spacing w:val="0"/>
          <w:sz w:val="32"/>
          <w:szCs w:val="32"/>
          <w:bdr w:val="none" w:color="auto" w:sz="0" w:space="0"/>
          <w:shd w:val="clear" w:fill="FFFFFF"/>
        </w:rPr>
        <w:t>；鲜蚕产量增长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4.9%</w:t>
      </w:r>
      <w:r>
        <w:rPr>
          <w:rFonts w:hint="eastAsia" w:ascii="仿宋_GB2312" w:hAnsi="微软雅黑" w:eastAsia="仿宋_GB2312" w:cs="仿宋_GB2312"/>
          <w:i w:val="0"/>
          <w:iCs w:val="0"/>
          <w:caps w:val="0"/>
          <w:color w:val="333333"/>
          <w:spacing w:val="0"/>
          <w:sz w:val="32"/>
          <w:szCs w:val="32"/>
          <w:bdr w:val="none" w:color="auto" w:sz="0" w:space="0"/>
          <w:shd w:val="clear" w:fill="FFFFFF"/>
        </w:rPr>
        <w:t>，禽蛋产量增长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0.5%</w:t>
      </w:r>
      <w:r>
        <w:rPr>
          <w:rFonts w:hint="eastAsia" w:ascii="仿宋_GB2312" w:hAnsi="微软雅黑" w:eastAsia="仿宋_GB2312" w:cs="仿宋_GB2312"/>
          <w:i w:val="0"/>
          <w:iCs w:val="0"/>
          <w:caps w:val="0"/>
          <w:color w:val="333333"/>
          <w:spacing w:val="0"/>
          <w:sz w:val="32"/>
          <w:szCs w:val="32"/>
          <w:bdr w:val="none" w:color="auto" w:sz="0" w:space="0"/>
          <w:shd w:val="clear" w:fill="FFFFFF"/>
        </w:rPr>
        <w:t>；水产品产量增长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2.6%</w:t>
      </w:r>
      <w:r>
        <w:rPr>
          <w:rFonts w:hint="eastAsia" w:ascii="仿宋_GB2312" w:hAnsi="微软雅黑" w:eastAsia="仿宋_GB2312" w:cs="仿宋_GB2312"/>
          <w:i w:val="0"/>
          <w:iCs w:val="0"/>
          <w:caps w:val="0"/>
          <w:color w:val="333333"/>
          <w:spacing w:val="0"/>
          <w:sz w:val="32"/>
          <w:szCs w:val="32"/>
          <w:bdr w:val="none" w:color="auto" w:sz="0" w:space="0"/>
          <w:shd w:val="clear" w:fill="FFFFFF"/>
        </w:rPr>
        <w:t>；生猪出栏数增长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39.9%</w:t>
      </w:r>
      <w:r>
        <w:rPr>
          <w:rFonts w:hint="eastAsia" w:ascii="仿宋_GB2312" w:hAnsi="微软雅黑" w:eastAsia="仿宋_GB2312" w:cs="仿宋_GB2312"/>
          <w:i w:val="0"/>
          <w:iCs w:val="0"/>
          <w:caps w:val="0"/>
          <w:color w:val="333333"/>
          <w:spacing w:val="0"/>
          <w:sz w:val="32"/>
          <w:szCs w:val="32"/>
          <w:bdr w:val="none" w:color="auto" w:sz="0" w:space="0"/>
          <w:shd w:val="clear" w:fill="FFFFFF"/>
        </w:rPr>
        <w:t>；家禽出栏数下降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4.1%</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42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4667250" cy="306705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667250" cy="3067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0"/>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2"/>
          <w:szCs w:val="32"/>
          <w:bdr w:val="none" w:color="auto" w:sz="0" w:space="0"/>
          <w:shd w:val="clear" w:fill="FFFFFF"/>
        </w:rPr>
        <w:t>三、工业和建筑业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全年全县工业增加值同比下降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3.3%</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，其中规模以上工业总产值下降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1.9%</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2021</w:t>
      </w:r>
      <w:r>
        <w:rPr>
          <w:rFonts w:hint="eastAsia" w:ascii="仿宋_GB2312" w:hAnsi="微软雅黑" w:eastAsia="仿宋_GB2312" w:cs="仿宋_GB2312"/>
          <w:i w:val="0"/>
          <w:iCs w:val="0"/>
          <w:caps w:val="0"/>
          <w:color w:val="333333"/>
          <w:spacing w:val="0"/>
          <w:sz w:val="32"/>
          <w:szCs w:val="32"/>
          <w:bdr w:val="none" w:color="auto" w:sz="0" w:space="0"/>
          <w:shd w:val="clear" w:fill="FFFFFF"/>
        </w:rPr>
        <w:t>年新增规上工业企业</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20</w:t>
      </w:r>
      <w:r>
        <w:rPr>
          <w:rFonts w:hint="eastAsia" w:ascii="仿宋_GB2312" w:hAnsi="微软雅黑" w:eastAsia="仿宋_GB2312" w:cs="仿宋_GB2312"/>
          <w:i w:val="0"/>
          <w:iCs w:val="0"/>
          <w:caps w:val="0"/>
          <w:color w:val="333333"/>
          <w:spacing w:val="0"/>
          <w:sz w:val="32"/>
          <w:szCs w:val="32"/>
          <w:bdr w:val="none" w:color="auto" w:sz="0" w:space="0"/>
          <w:shd w:val="clear" w:fill="FFFFFF"/>
        </w:rPr>
        <w:t>家，规模以上工业企业总数达</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117</w:t>
      </w:r>
      <w:r>
        <w:rPr>
          <w:rFonts w:hint="eastAsia" w:ascii="仿宋_GB2312" w:hAnsi="微软雅黑" w:eastAsia="仿宋_GB2312" w:cs="仿宋_GB2312"/>
          <w:i w:val="0"/>
          <w:iCs w:val="0"/>
          <w:caps w:val="0"/>
          <w:color w:val="333333"/>
          <w:spacing w:val="0"/>
          <w:sz w:val="32"/>
          <w:szCs w:val="32"/>
          <w:bdr w:val="none" w:color="auto" w:sz="0" w:space="0"/>
          <w:shd w:val="clear" w:fill="FFFFFF"/>
        </w:rPr>
        <w:t>家，工业产值超亿元企业</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39</w:t>
      </w:r>
      <w:r>
        <w:rPr>
          <w:rFonts w:hint="eastAsia" w:ascii="仿宋_GB2312" w:hAnsi="微软雅黑" w:eastAsia="仿宋_GB2312" w:cs="仿宋_GB2312"/>
          <w:i w:val="0"/>
          <w:iCs w:val="0"/>
          <w:caps w:val="0"/>
          <w:color w:val="333333"/>
          <w:spacing w:val="0"/>
          <w:sz w:val="32"/>
          <w:szCs w:val="32"/>
          <w:bdr w:val="none" w:color="auto" w:sz="0" w:space="0"/>
          <w:shd w:val="clear" w:fill="FFFFFF"/>
        </w:rPr>
        <w:t>家。分行业来看，木材加工业、汽车制造业、化学原料和化学制品制造业、非金属制造业、农副食品加工业、纺织业、造纸和纸制品业以及电力、热力生产和供应业八大行业产值占规模以上工业总产值的比重分别为</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21.0%</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15.7%</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13.2%</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9.8%</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7.7%</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5.5%</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5.0%</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12.1%</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，其中化学原料和化学制品制造业、农副食品加工业、造纸和纸制品业及电力、热力生产和供应业四大行业产值增速分别为</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48.9%</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33.6%</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26.7%</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43.1%</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全年全社会建筑业总产值</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11.01</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39.9%</w:t>
      </w:r>
      <w:r>
        <w:rPr>
          <w:rFonts w:hint="eastAsia" w:ascii="仿宋_GB2312" w:hAnsi="微软雅黑" w:eastAsia="仿宋_GB2312" w:cs="仿宋_GB2312"/>
          <w:i w:val="0"/>
          <w:iCs w:val="0"/>
          <w:caps w:val="0"/>
          <w:color w:val="333333"/>
          <w:spacing w:val="0"/>
          <w:sz w:val="32"/>
          <w:szCs w:val="32"/>
          <w:bdr w:val="none" w:color="auto" w:sz="0" w:space="0"/>
          <w:shd w:val="clear" w:fill="FFFFFF"/>
        </w:rPr>
        <w:t>，资质以上企业</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16</w:t>
      </w:r>
      <w:r>
        <w:rPr>
          <w:rFonts w:hint="eastAsia" w:ascii="仿宋_GB2312" w:hAnsi="微软雅黑" w:eastAsia="仿宋_GB2312" w:cs="仿宋_GB2312"/>
          <w:i w:val="0"/>
          <w:iCs w:val="0"/>
          <w:caps w:val="0"/>
          <w:color w:val="333333"/>
          <w:spacing w:val="0"/>
          <w:sz w:val="32"/>
          <w:szCs w:val="32"/>
          <w:bdr w:val="none" w:color="auto" w:sz="0" w:space="0"/>
          <w:shd w:val="clear" w:fill="FFFFFF"/>
        </w:rPr>
        <w:t>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2"/>
          <w:szCs w:val="32"/>
          <w:bdr w:val="none" w:color="auto" w:sz="0" w:space="0"/>
          <w:shd w:val="clear" w:fill="FFFFFF"/>
        </w:rPr>
        <w:t>四、固定资产投资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0"/>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全年全县固定资产投资下降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22.0%</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，其中项目投资下降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21.6%</w:t>
      </w:r>
      <w:r>
        <w:rPr>
          <w:rFonts w:hint="eastAsia" w:ascii="仿宋_GB2312" w:hAnsi="微软雅黑" w:eastAsia="仿宋_GB2312" w:cs="仿宋_GB2312"/>
          <w:i w:val="0"/>
          <w:iCs w:val="0"/>
          <w:caps w:val="0"/>
          <w:color w:val="333333"/>
          <w:spacing w:val="0"/>
          <w:sz w:val="32"/>
          <w:szCs w:val="32"/>
          <w:bdr w:val="none" w:color="auto" w:sz="0" w:space="0"/>
          <w:shd w:val="clear" w:fill="FFFFFF"/>
        </w:rPr>
        <w:t>，房地产开发投资下降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23.3%</w:t>
      </w:r>
      <w:r>
        <w:rPr>
          <w:rFonts w:hint="eastAsia" w:ascii="仿宋_GB2312" w:hAnsi="微软雅黑" w:eastAsia="仿宋_GB2312" w:cs="仿宋_GB2312"/>
          <w:i w:val="0"/>
          <w:iCs w:val="0"/>
          <w:caps w:val="0"/>
          <w:color w:val="333333"/>
          <w:spacing w:val="0"/>
          <w:sz w:val="32"/>
          <w:szCs w:val="32"/>
          <w:bdr w:val="none" w:color="auto" w:sz="0" w:space="0"/>
          <w:shd w:val="clear" w:fill="FFFFFF"/>
        </w:rPr>
        <w:t>。从产业来看，第一产业投资增长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144.0%</w:t>
      </w:r>
      <w:r>
        <w:rPr>
          <w:rFonts w:hint="eastAsia" w:ascii="仿宋_GB2312" w:hAnsi="微软雅黑" w:eastAsia="仿宋_GB2312" w:cs="仿宋_GB2312"/>
          <w:i w:val="0"/>
          <w:iCs w:val="0"/>
          <w:caps w:val="0"/>
          <w:color w:val="333333"/>
          <w:spacing w:val="0"/>
          <w:sz w:val="32"/>
          <w:szCs w:val="32"/>
          <w:bdr w:val="none" w:color="auto" w:sz="0" w:space="0"/>
          <w:shd w:val="clear" w:fill="FFFFFF"/>
        </w:rPr>
        <w:t>；第二产业投资下降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18.5%</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，其中，工业投资下降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14.8%</w:t>
      </w:r>
      <w:r>
        <w:rPr>
          <w:rFonts w:hint="eastAsia" w:ascii="仿宋_GB2312" w:hAnsi="微软雅黑" w:eastAsia="仿宋_GB2312" w:cs="仿宋_GB2312"/>
          <w:i w:val="0"/>
          <w:iCs w:val="0"/>
          <w:caps w:val="0"/>
          <w:color w:val="333333"/>
          <w:spacing w:val="0"/>
          <w:sz w:val="32"/>
          <w:szCs w:val="32"/>
          <w:bdr w:val="none" w:color="auto" w:sz="0" w:space="0"/>
          <w:shd w:val="clear" w:fill="FFFFFF"/>
        </w:rPr>
        <w:t>；第三产业投资下降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26.8%</w:t>
      </w:r>
      <w:r>
        <w:rPr>
          <w:rFonts w:hint="eastAsia" w:ascii="仿宋_GB2312" w:hAnsi="微软雅黑" w:eastAsia="仿宋_GB2312" w:cs="仿宋_GB2312"/>
          <w:i w:val="0"/>
          <w:iCs w:val="0"/>
          <w:caps w:val="0"/>
          <w:color w:val="333333"/>
          <w:spacing w:val="0"/>
          <w:sz w:val="32"/>
          <w:szCs w:val="32"/>
          <w:bdr w:val="none" w:color="auto" w:sz="0" w:space="0"/>
          <w:shd w:val="clear" w:fill="FFFFFF"/>
        </w:rPr>
        <w:t>，交通运输、仓储和邮政业投资增长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30.9%</w:t>
      </w:r>
      <w:r>
        <w:rPr>
          <w:rFonts w:hint="eastAsia" w:ascii="仿宋_GB2312" w:hAnsi="微软雅黑" w:eastAsia="仿宋_GB2312" w:cs="仿宋_GB2312"/>
          <w:i w:val="0"/>
          <w:iCs w:val="0"/>
          <w:caps w:val="0"/>
          <w:color w:val="333333"/>
          <w:spacing w:val="0"/>
          <w:sz w:val="32"/>
          <w:szCs w:val="32"/>
          <w:bdr w:val="none" w:color="auto" w:sz="0" w:space="0"/>
          <w:shd w:val="clear" w:fill="FFFFFF"/>
        </w:rPr>
        <w:t>。民间投资下降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47.1%</w:t>
      </w:r>
      <w:r>
        <w:rPr>
          <w:rFonts w:hint="eastAsia" w:ascii="仿宋_GB2312" w:hAnsi="微软雅黑" w:eastAsia="仿宋_GB2312" w:cs="仿宋_GB2312"/>
          <w:i w:val="0"/>
          <w:iCs w:val="0"/>
          <w:caps w:val="0"/>
          <w:color w:val="333333"/>
          <w:spacing w:val="0"/>
          <w:sz w:val="32"/>
          <w:szCs w:val="32"/>
          <w:bdr w:val="none" w:color="auto" w:sz="0" w:space="0"/>
          <w:shd w:val="clear" w:fill="FFFFFF"/>
        </w:rPr>
        <w:t>，工业技改投资增长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173.5%</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0"/>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2"/>
          <w:szCs w:val="32"/>
          <w:bdr w:val="none" w:color="auto" w:sz="0" w:space="0"/>
          <w:shd w:val="clear" w:fill="FFFFFF"/>
        </w:rPr>
        <w:t>五、国内贸易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全年全县社会消费品零售总额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47.40</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5.9%</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。其中：城镇社会消费品零售总额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29.23</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5.1%</w:t>
      </w:r>
      <w:r>
        <w:rPr>
          <w:rFonts w:hint="eastAsia" w:ascii="仿宋_GB2312" w:hAnsi="微软雅黑" w:eastAsia="仿宋_GB2312" w:cs="仿宋_GB2312"/>
          <w:i w:val="0"/>
          <w:iCs w:val="0"/>
          <w:caps w:val="0"/>
          <w:color w:val="333333"/>
          <w:spacing w:val="0"/>
          <w:sz w:val="32"/>
          <w:szCs w:val="32"/>
          <w:bdr w:val="none" w:color="auto" w:sz="0" w:space="0"/>
          <w:shd w:val="clear" w:fill="FFFFFF"/>
        </w:rPr>
        <w:t>，占全县社会消费品零售总额的</w:t>
      </w:r>
      <w:r>
        <w:rPr>
          <w:rFonts w:hint="eastAsia" w:ascii="仿宋_GB2312" w:hAnsi="Times New Roman" w:eastAsia="仿宋_GB2312" w:cs="仿宋_GB2312"/>
          <w:i w:val="0"/>
          <w:iCs w:val="0"/>
          <w:caps w:val="0"/>
          <w:color w:val="333333"/>
          <w:spacing w:val="0"/>
          <w:sz w:val="32"/>
          <w:szCs w:val="32"/>
          <w:bdr w:val="none" w:color="auto" w:sz="0" w:space="0"/>
          <w:shd w:val="clear" w:fill="FFFFFF"/>
        </w:rPr>
        <w:t>61.7%</w:t>
      </w:r>
      <w:r>
        <w:rPr>
          <w:rFonts w:hint="eastAsia" w:ascii="仿宋_GB2312" w:hAnsi="微软雅黑" w:eastAsia="仿宋_GB2312" w:cs="仿宋_GB2312"/>
          <w:i w:val="0"/>
          <w:iCs w:val="0"/>
          <w:caps w:val="0"/>
          <w:color w:val="333333"/>
          <w:spacing w:val="0"/>
          <w:sz w:val="32"/>
          <w:szCs w:val="32"/>
          <w:bdr w:val="none" w:color="auto" w:sz="0" w:space="0"/>
          <w:shd w:val="clear" w:fill="FFFFFF"/>
        </w:rPr>
        <w:t>，乡村社会消费品零售总额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18.17</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7.1%</w:t>
      </w:r>
      <w:r>
        <w:rPr>
          <w:rFonts w:hint="eastAsia" w:ascii="仿宋_GB2312" w:hAnsi="微软雅黑" w:eastAsia="仿宋_GB2312" w:cs="仿宋_GB2312"/>
          <w:i w:val="0"/>
          <w:iCs w:val="0"/>
          <w:caps w:val="0"/>
          <w:color w:val="333333"/>
          <w:spacing w:val="0"/>
          <w:sz w:val="32"/>
          <w:szCs w:val="32"/>
          <w:bdr w:val="none" w:color="auto" w:sz="0" w:space="0"/>
          <w:shd w:val="clear" w:fill="FFFFFF"/>
        </w:rPr>
        <w:t>，占全县社会消费品零售总额的</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38.3%</w:t>
      </w:r>
      <w:r>
        <w:rPr>
          <w:rFonts w:hint="eastAsia" w:ascii="仿宋_GB2312" w:hAnsi="微软雅黑" w:eastAsia="仿宋_GB2312" w:cs="仿宋_GB2312"/>
          <w:i w:val="0"/>
          <w:iCs w:val="0"/>
          <w:caps w:val="0"/>
          <w:color w:val="333333"/>
          <w:spacing w:val="0"/>
          <w:sz w:val="32"/>
          <w:szCs w:val="32"/>
          <w:bdr w:val="none" w:color="auto" w:sz="0" w:space="0"/>
          <w:shd w:val="clear" w:fill="FFFFFF"/>
        </w:rPr>
        <w:t>。分行业来看，批发业销售额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11.40</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9.4%</w:t>
      </w:r>
      <w:r>
        <w:rPr>
          <w:rFonts w:hint="eastAsia" w:ascii="仿宋_GB2312" w:hAnsi="微软雅黑" w:eastAsia="仿宋_GB2312" w:cs="仿宋_GB2312"/>
          <w:i w:val="0"/>
          <w:iCs w:val="0"/>
          <w:caps w:val="0"/>
          <w:color w:val="333333"/>
          <w:spacing w:val="0"/>
          <w:sz w:val="32"/>
          <w:szCs w:val="32"/>
          <w:bdr w:val="none" w:color="auto" w:sz="0" w:space="0"/>
          <w:shd w:val="clear" w:fill="FFFFFF"/>
        </w:rPr>
        <w:t>；零售业销售额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37.0</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10.2%</w:t>
      </w:r>
      <w:r>
        <w:rPr>
          <w:rFonts w:hint="eastAsia" w:ascii="仿宋_GB2312" w:hAnsi="微软雅黑" w:eastAsia="仿宋_GB2312" w:cs="仿宋_GB2312"/>
          <w:i w:val="0"/>
          <w:iCs w:val="0"/>
          <w:caps w:val="0"/>
          <w:color w:val="333333"/>
          <w:spacing w:val="0"/>
          <w:sz w:val="32"/>
          <w:szCs w:val="32"/>
          <w:bdr w:val="none" w:color="auto" w:sz="0" w:space="0"/>
          <w:shd w:val="clear" w:fill="FFFFFF"/>
        </w:rPr>
        <w:t>；住宿业营业额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0.77</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2.4%</w:t>
      </w:r>
      <w:r>
        <w:rPr>
          <w:rFonts w:hint="eastAsia" w:ascii="仿宋_GB2312" w:hAnsi="微软雅黑" w:eastAsia="仿宋_GB2312" w:cs="仿宋_GB2312"/>
          <w:i w:val="0"/>
          <w:iCs w:val="0"/>
          <w:caps w:val="0"/>
          <w:color w:val="333333"/>
          <w:spacing w:val="0"/>
          <w:sz w:val="32"/>
          <w:szCs w:val="32"/>
          <w:bdr w:val="none" w:color="auto" w:sz="0" w:space="0"/>
          <w:shd w:val="clear" w:fill="FFFFFF"/>
        </w:rPr>
        <w:t>；餐饮业营业额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11.37</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21.9%</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42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4743450" cy="3581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743450" cy="3581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0"/>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2"/>
          <w:szCs w:val="32"/>
          <w:bdr w:val="none" w:color="auto" w:sz="0" w:space="0"/>
          <w:shd w:val="clear" w:fill="FFFFFF"/>
        </w:rPr>
        <w:t>六、交通、邮电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全年公路水路客货运输周转量</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122529</w:t>
      </w:r>
      <w:r>
        <w:rPr>
          <w:rFonts w:hint="eastAsia" w:ascii="仿宋_GB2312" w:hAnsi="微软雅黑" w:eastAsia="仿宋_GB2312" w:cs="仿宋_GB2312"/>
          <w:i w:val="0"/>
          <w:iCs w:val="0"/>
          <w:caps w:val="0"/>
          <w:color w:val="333333"/>
          <w:spacing w:val="0"/>
          <w:sz w:val="32"/>
          <w:szCs w:val="32"/>
          <w:bdr w:val="none" w:color="auto" w:sz="0" w:space="0"/>
          <w:shd w:val="clear" w:fill="FFFFFF"/>
        </w:rPr>
        <w:t>万吨公里，增长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22.6%</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。其中，公路客货运周转量</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105962</w:t>
      </w:r>
      <w:r>
        <w:rPr>
          <w:rFonts w:hint="eastAsia" w:ascii="仿宋_GB2312" w:hAnsi="微软雅黑" w:eastAsia="仿宋_GB2312" w:cs="仿宋_GB2312"/>
          <w:i w:val="0"/>
          <w:iCs w:val="0"/>
          <w:caps w:val="0"/>
          <w:color w:val="333333"/>
          <w:spacing w:val="0"/>
          <w:sz w:val="32"/>
          <w:szCs w:val="32"/>
          <w:bdr w:val="none" w:color="auto" w:sz="0" w:space="0"/>
          <w:shd w:val="clear" w:fill="FFFFFF"/>
        </w:rPr>
        <w:t>万吨公里，增长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24.2%</w:t>
      </w:r>
      <w:r>
        <w:rPr>
          <w:rFonts w:hint="eastAsia" w:ascii="仿宋_GB2312" w:hAnsi="微软雅黑" w:eastAsia="仿宋_GB2312" w:cs="仿宋_GB2312"/>
          <w:i w:val="0"/>
          <w:iCs w:val="0"/>
          <w:caps w:val="0"/>
          <w:color w:val="333333"/>
          <w:spacing w:val="0"/>
          <w:sz w:val="32"/>
          <w:szCs w:val="32"/>
          <w:bdr w:val="none" w:color="auto" w:sz="0" w:space="0"/>
          <w:shd w:val="clear" w:fill="FFFFFF"/>
        </w:rPr>
        <w:t>；水路客货运周转量</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16567</w:t>
      </w:r>
      <w:r>
        <w:rPr>
          <w:rFonts w:hint="eastAsia" w:ascii="仿宋_GB2312" w:hAnsi="微软雅黑" w:eastAsia="仿宋_GB2312" w:cs="仿宋_GB2312"/>
          <w:i w:val="0"/>
          <w:iCs w:val="0"/>
          <w:caps w:val="0"/>
          <w:color w:val="333333"/>
          <w:spacing w:val="0"/>
          <w:sz w:val="32"/>
          <w:szCs w:val="32"/>
          <w:bdr w:val="none" w:color="auto" w:sz="0" w:space="0"/>
          <w:shd w:val="clear" w:fill="FFFFFF"/>
        </w:rPr>
        <w:t>万吨公里，增长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13.5%</w:t>
      </w:r>
      <w:r>
        <w:rPr>
          <w:rFonts w:hint="eastAsia" w:ascii="仿宋_GB2312" w:hAnsi="微软雅黑" w:eastAsia="仿宋_GB2312" w:cs="仿宋_GB2312"/>
          <w:i w:val="0"/>
          <w:iCs w:val="0"/>
          <w:caps w:val="0"/>
          <w:color w:val="333333"/>
          <w:spacing w:val="0"/>
          <w:sz w:val="32"/>
          <w:szCs w:val="32"/>
          <w:bdr w:val="none" w:color="auto" w:sz="0" w:space="0"/>
          <w:shd w:val="clear" w:fill="FFFFFF"/>
        </w:rPr>
        <w:t>；电信业务总量</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38215</w:t>
      </w:r>
      <w:r>
        <w:rPr>
          <w:rFonts w:hint="eastAsia" w:ascii="仿宋_GB2312" w:hAnsi="微软雅黑" w:eastAsia="仿宋_GB2312" w:cs="仿宋_GB2312"/>
          <w:i w:val="0"/>
          <w:iCs w:val="0"/>
          <w:caps w:val="0"/>
          <w:color w:val="333333"/>
          <w:spacing w:val="0"/>
          <w:sz w:val="32"/>
          <w:szCs w:val="32"/>
          <w:bdr w:val="none" w:color="auto" w:sz="0" w:space="0"/>
          <w:shd w:val="clear" w:fill="FFFFFF"/>
        </w:rPr>
        <w:t>万元，增长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34.4%</w:t>
      </w:r>
      <w:r>
        <w:rPr>
          <w:rFonts w:hint="eastAsia" w:ascii="仿宋_GB2312" w:hAnsi="微软雅黑" w:eastAsia="仿宋_GB2312" w:cs="仿宋_GB2312"/>
          <w:i w:val="0"/>
          <w:iCs w:val="0"/>
          <w:caps w:val="0"/>
          <w:color w:val="333333"/>
          <w:spacing w:val="0"/>
          <w:sz w:val="32"/>
          <w:szCs w:val="32"/>
          <w:bdr w:val="none" w:color="auto" w:sz="0" w:space="0"/>
          <w:shd w:val="clear" w:fill="FFFFFF"/>
        </w:rPr>
        <w:t>；邮政业务总量</w:t>
      </w:r>
      <w:r>
        <w:rPr>
          <w:rFonts w:hint="eastAsia" w:ascii="仿宋_GB2312" w:hAnsi="Times New Roman" w:eastAsia="仿宋_GB2312" w:cs="仿宋_GB2312"/>
          <w:i w:val="0"/>
          <w:iCs w:val="0"/>
          <w:caps w:val="0"/>
          <w:color w:val="333333"/>
          <w:spacing w:val="0"/>
          <w:sz w:val="32"/>
          <w:szCs w:val="32"/>
          <w:bdr w:val="none" w:color="auto" w:sz="0" w:space="0"/>
          <w:shd w:val="clear" w:fill="FFFFFF"/>
        </w:rPr>
        <w:t>5318</w:t>
      </w:r>
      <w:r>
        <w:rPr>
          <w:rFonts w:hint="eastAsia" w:ascii="仿宋_GB2312" w:hAnsi="微软雅黑" w:eastAsia="仿宋_GB2312" w:cs="仿宋_GB2312"/>
          <w:i w:val="0"/>
          <w:iCs w:val="0"/>
          <w:caps w:val="0"/>
          <w:color w:val="333333"/>
          <w:spacing w:val="0"/>
          <w:sz w:val="32"/>
          <w:szCs w:val="32"/>
          <w:bdr w:val="none" w:color="auto" w:sz="0" w:space="0"/>
          <w:shd w:val="clear" w:fill="FFFFFF"/>
        </w:rPr>
        <w:t>万元，增长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13.4%</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2"/>
          <w:szCs w:val="32"/>
          <w:bdr w:val="none" w:color="auto" w:sz="0" w:space="0"/>
          <w:shd w:val="clear" w:fill="FFFFFF"/>
        </w:rPr>
        <w:t>七、财政、金融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全年全县财政收入</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11.87</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6.5%</w:t>
      </w:r>
      <w:r>
        <w:rPr>
          <w:rFonts w:hint="eastAsia" w:ascii="仿宋_GB2312" w:hAnsi="微软雅黑" w:eastAsia="仿宋_GB2312" w:cs="仿宋_GB2312"/>
          <w:i w:val="0"/>
          <w:iCs w:val="0"/>
          <w:caps w:val="0"/>
          <w:color w:val="333333"/>
          <w:spacing w:val="0"/>
          <w:sz w:val="32"/>
          <w:szCs w:val="32"/>
          <w:bdr w:val="none" w:color="auto" w:sz="0" w:space="0"/>
          <w:shd w:val="clear" w:fill="FFFFFF"/>
        </w:rPr>
        <w:t>，其中一般公共预算收入</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7.40</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4.0%</w:t>
      </w:r>
      <w:r>
        <w:rPr>
          <w:rFonts w:hint="eastAsia" w:ascii="仿宋_GB2312" w:hAnsi="微软雅黑" w:eastAsia="仿宋_GB2312" w:cs="仿宋_GB2312"/>
          <w:i w:val="0"/>
          <w:iCs w:val="0"/>
          <w:caps w:val="0"/>
          <w:color w:val="333333"/>
          <w:spacing w:val="0"/>
          <w:sz w:val="32"/>
          <w:szCs w:val="32"/>
          <w:bdr w:val="none" w:color="auto" w:sz="0" w:space="0"/>
          <w:shd w:val="clear" w:fill="FFFFFF"/>
        </w:rPr>
        <w:t>；一般公共预算支出</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28.90</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亿元，下降</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13.8%</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年末金融机构人民币存款余额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199.47</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4.8%</w:t>
      </w:r>
      <w:r>
        <w:rPr>
          <w:rFonts w:hint="eastAsia" w:ascii="仿宋_GB2312" w:hAnsi="微软雅黑" w:eastAsia="仿宋_GB2312" w:cs="仿宋_GB2312"/>
          <w:i w:val="0"/>
          <w:iCs w:val="0"/>
          <w:caps w:val="0"/>
          <w:color w:val="333333"/>
          <w:spacing w:val="0"/>
          <w:sz w:val="32"/>
          <w:szCs w:val="32"/>
          <w:bdr w:val="none" w:color="auto" w:sz="0" w:space="0"/>
          <w:shd w:val="clear" w:fill="FFFFFF"/>
        </w:rPr>
        <w:t>；金融机构人民币贷款余额</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229.75</w:t>
      </w:r>
      <w:r>
        <w:rPr>
          <w:rFonts w:hint="eastAsia" w:ascii="仿宋_GB2312" w:hAnsi="微软雅黑" w:eastAsia="仿宋_GB2312" w:cs="仿宋_GB2312"/>
          <w:i w:val="0"/>
          <w:iCs w:val="0"/>
          <w:caps w:val="0"/>
          <w:color w:val="333333"/>
          <w:spacing w:val="0"/>
          <w:sz w:val="32"/>
          <w:szCs w:val="32"/>
          <w:bdr w:val="none" w:color="auto" w:sz="0" w:space="0"/>
          <w:shd w:val="clear" w:fill="FFFFFF"/>
        </w:rPr>
        <w:t>亿元，增长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10.7%</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黑体" w:hAnsi="宋体" w:eastAsia="黑体" w:cs="黑体"/>
          <w:i w:val="0"/>
          <w:iCs w:val="0"/>
          <w:caps w:val="0"/>
          <w:color w:val="333333"/>
          <w:spacing w:val="0"/>
          <w:sz w:val="32"/>
          <w:szCs w:val="32"/>
          <w:bdr w:val="none" w:color="auto" w:sz="0" w:space="0"/>
          <w:shd w:val="clear" w:fill="FFFFFF"/>
        </w:rPr>
        <w:t>八、人民生活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全年全县居民收入水平平稳提升，城镇居民人均可支配收入</w:t>
      </w:r>
      <w:r>
        <w:rPr>
          <w:rFonts w:hint="eastAsia" w:ascii="仿宋_GB2312" w:hAnsi="Times New Roman" w:eastAsia="仿宋_GB2312" w:cs="仿宋_GB2312"/>
          <w:i w:val="0"/>
          <w:iCs w:val="0"/>
          <w:caps w:val="0"/>
          <w:color w:val="333333"/>
          <w:spacing w:val="0"/>
          <w:sz w:val="32"/>
          <w:szCs w:val="32"/>
          <w:bdr w:val="none" w:color="auto" w:sz="0" w:space="0"/>
          <w:shd w:val="clear" w:fill="FFFFFF"/>
        </w:rPr>
        <w:t>41779</w:t>
      </w:r>
      <w:r>
        <w:rPr>
          <w:rFonts w:hint="eastAsia" w:ascii="仿宋_GB2312" w:hAnsi="微软雅黑" w:eastAsia="仿宋_GB2312" w:cs="仿宋_GB2312"/>
          <w:i w:val="0"/>
          <w:iCs w:val="0"/>
          <w:caps w:val="0"/>
          <w:color w:val="333333"/>
          <w:spacing w:val="0"/>
          <w:sz w:val="32"/>
          <w:szCs w:val="32"/>
          <w:bdr w:val="none" w:color="auto" w:sz="0" w:space="0"/>
          <w:shd w:val="clear" w:fill="FFFFFF"/>
        </w:rPr>
        <w:t>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7.1%</w:t>
      </w:r>
      <w:r>
        <w:rPr>
          <w:rFonts w:hint="eastAsia" w:ascii="仿宋_GB2312" w:hAnsi="微软雅黑" w:eastAsia="仿宋_GB2312" w:cs="仿宋_GB2312"/>
          <w:i w:val="0"/>
          <w:iCs w:val="0"/>
          <w:caps w:val="0"/>
          <w:color w:val="333333"/>
          <w:spacing w:val="0"/>
          <w:sz w:val="32"/>
          <w:szCs w:val="32"/>
          <w:bdr w:val="none" w:color="auto" w:sz="0" w:space="0"/>
          <w:shd w:val="clear" w:fill="FFFFFF"/>
        </w:rPr>
        <w:t>；农村居民人均可支配收入</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18459</w:t>
      </w:r>
      <w:r>
        <w:rPr>
          <w:rFonts w:hint="eastAsia" w:ascii="仿宋_GB2312" w:hAnsi="微软雅黑" w:eastAsia="仿宋_GB2312" w:cs="仿宋_GB2312"/>
          <w:i w:val="0"/>
          <w:iCs w:val="0"/>
          <w:caps w:val="0"/>
          <w:color w:val="333333"/>
          <w:spacing w:val="0"/>
          <w:sz w:val="32"/>
          <w:szCs w:val="32"/>
          <w:bdr w:val="none" w:color="auto" w:sz="0" w:space="0"/>
          <w:shd w:val="clear" w:fill="FFFFFF"/>
        </w:rPr>
        <w:t>元，增长</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10.1%</w:t>
      </w:r>
      <w:r>
        <w:rPr>
          <w:rFonts w:hint="eastAsia" w:ascii="仿宋_GB2312" w:hAnsi="微软雅黑" w:eastAsia="仿宋_GB2312" w:cs="仿宋_GB2312"/>
          <w:i w:val="0"/>
          <w:iCs w:val="0"/>
          <w:caps w:val="0"/>
          <w:color w:val="333333"/>
          <w:spacing w:val="0"/>
          <w:sz w:val="32"/>
          <w:szCs w:val="32"/>
          <w:bdr w:val="none" w:color="auto" w:sz="0" w:space="0"/>
          <w:shd w:val="clear" w:fill="FFFFFF"/>
        </w:rPr>
        <w:t>，增幅高出城镇居民</w:t>
      </w:r>
      <w:r>
        <w:rPr>
          <w:rFonts w:hint="eastAsia" w:ascii="仿宋_GB2312" w:hAnsi="Times New Roman" w:eastAsia="仿宋_GB2312" w:cs="仿宋_GB2312"/>
          <w:i w:val="0"/>
          <w:iCs w:val="0"/>
          <w:caps w:val="0"/>
          <w:color w:val="333333"/>
          <w:spacing w:val="0"/>
          <w:sz w:val="32"/>
          <w:szCs w:val="32"/>
          <w:bdr w:val="none" w:color="auto" w:sz="0" w:space="0"/>
          <w:shd w:val="clear" w:fill="FFFFFF"/>
        </w:rPr>
        <w:t>3.0</w:t>
      </w:r>
      <w:r>
        <w:rPr>
          <w:rFonts w:hint="eastAsia" w:ascii="仿宋_GB2312" w:hAnsi="微软雅黑" w:eastAsia="仿宋_GB2312" w:cs="仿宋_GB2312"/>
          <w:i w:val="0"/>
          <w:iCs w:val="0"/>
          <w:caps w:val="0"/>
          <w:color w:val="333333"/>
          <w:spacing w:val="0"/>
          <w:sz w:val="32"/>
          <w:szCs w:val="32"/>
          <w:bdr w:val="none" w:color="auto" w:sz="0" w:space="0"/>
          <w:shd w:val="clear" w:fill="FFFFFF"/>
        </w:rPr>
        <w:t>个百分点，城乡居民人均可支配收入比值为</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2.26:1</w:t>
      </w:r>
      <w:r>
        <w:rPr>
          <w:rFonts w:hint="eastAsia" w:ascii="仿宋_GB2312" w:hAnsi="微软雅黑" w:eastAsia="仿宋_GB2312" w:cs="仿宋_GB2312"/>
          <w:i w:val="0"/>
          <w:iCs w:val="0"/>
          <w:caps w:val="0"/>
          <w:color w:val="333333"/>
          <w:spacing w:val="0"/>
          <w:sz w:val="32"/>
          <w:szCs w:val="32"/>
          <w:bdr w:val="none" w:color="auto" w:sz="0" w:space="0"/>
          <w:shd w:val="clear" w:fill="FFFFFF"/>
        </w:rPr>
        <w:t>，比上年缩小</w:t>
      </w:r>
      <w:r>
        <w:rPr>
          <w:rFonts w:hint="eastAsia" w:ascii="仿宋_GB2312" w:hAnsi="Times New Roman" w:eastAsia="仿宋_GB2312" w:cs="仿宋_GB2312"/>
          <w:i w:val="0"/>
          <w:iCs w:val="0"/>
          <w:caps w:val="0"/>
          <w:color w:val="333333"/>
          <w:spacing w:val="0"/>
          <w:sz w:val="32"/>
          <w:szCs w:val="32"/>
          <w:bdr w:val="none" w:color="auto" w:sz="0" w:space="0"/>
          <w:shd w:val="clear" w:fill="FFFFFF"/>
        </w:rPr>
        <w:t>0.07</w:t>
      </w:r>
      <w:r>
        <w:rPr>
          <w:rFonts w:hint="eastAsia" w:ascii="仿宋_GB2312" w:hAnsi="微软雅黑" w:eastAsia="仿宋_GB2312" w:cs="仿宋_GB2312"/>
          <w:i w:val="0"/>
          <w:iCs w:val="0"/>
          <w:caps w:val="0"/>
          <w:color w:val="333333"/>
          <w:spacing w:val="0"/>
          <w:sz w:val="32"/>
          <w:szCs w:val="32"/>
          <w:bdr w:val="none" w:color="auto" w:sz="0" w:space="0"/>
          <w:shd w:val="clear" w:fill="FFFFFF"/>
        </w:rPr>
        <w:t>，城乡居民收入差距不断缩小。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4829175" cy="333375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4829175" cy="3333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center"/>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bdr w:val="none" w:color="auto" w:sz="0" w:space="0"/>
          <w:shd w:val="clear" w:fill="FFFFFF"/>
        </w:rPr>
        <w:drawing>
          <wp:inline distT="0" distB="0" distL="114300" distR="114300">
            <wp:extent cx="4819650" cy="351472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819650" cy="3514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jc w:val="center"/>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641"/>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jc w:val="left"/>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　　</w:t>
      </w:r>
      <w:r>
        <w:rPr>
          <w:rFonts w:hint="eastAsia" w:ascii="仿宋_GB2312" w:hAnsi="Times New Roman" w:eastAsia="仿宋_GB2312" w:cs="仿宋_GB2312"/>
          <w:i w:val="0"/>
          <w:iCs w:val="0"/>
          <w:caps w:val="0"/>
          <w:color w:val="333333"/>
          <w:spacing w:val="0"/>
          <w:sz w:val="32"/>
          <w:szCs w:val="32"/>
          <w:bdr w:val="none" w:color="auto" w:sz="0" w:space="0"/>
          <w:shd w:val="clear" w:fill="FFFFFF"/>
        </w:rPr>
        <w:t>1</w:t>
      </w:r>
      <w:r>
        <w:rPr>
          <w:rFonts w:hint="eastAsia" w:ascii="仿宋_GB2312" w:hAnsi="微软雅黑" w:eastAsia="仿宋_GB2312" w:cs="仿宋_GB2312"/>
          <w:i w:val="0"/>
          <w:iCs w:val="0"/>
          <w:caps w:val="0"/>
          <w:color w:val="333333"/>
          <w:spacing w:val="0"/>
          <w:sz w:val="32"/>
          <w:szCs w:val="32"/>
          <w:bdr w:val="none" w:color="auto" w:sz="0" w:space="0"/>
          <w:shd w:val="clear" w:fill="FFFFFF"/>
        </w:rPr>
        <w:t>、本公报</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2021</w:t>
      </w:r>
      <w:r>
        <w:rPr>
          <w:rFonts w:hint="eastAsia" w:ascii="仿宋_GB2312" w:hAnsi="微软雅黑" w:eastAsia="仿宋_GB2312" w:cs="仿宋_GB2312"/>
          <w:i w:val="0"/>
          <w:iCs w:val="0"/>
          <w:caps w:val="0"/>
          <w:color w:val="333333"/>
          <w:spacing w:val="0"/>
          <w:sz w:val="32"/>
          <w:szCs w:val="32"/>
          <w:bdr w:val="none" w:color="auto" w:sz="0" w:space="0"/>
          <w:shd w:val="clear" w:fill="FFFFFF"/>
        </w:rPr>
        <w:t>年统计数据为统计快报数或初步核算数，正式数据以出版的《柳州统计年鉴—</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2022</w:t>
      </w:r>
      <w:r>
        <w:rPr>
          <w:rFonts w:hint="eastAsia" w:ascii="仿宋_GB2312" w:hAnsi="微软雅黑" w:eastAsia="仿宋_GB2312" w:cs="仿宋_GB2312"/>
          <w:i w:val="0"/>
          <w:iCs w:val="0"/>
          <w:caps w:val="0"/>
          <w:color w:val="333333"/>
          <w:spacing w:val="0"/>
          <w:sz w:val="32"/>
          <w:szCs w:val="32"/>
          <w:bdr w:val="none" w:color="auto" w:sz="0" w:space="0"/>
          <w:shd w:val="clear" w:fill="FFFFFF"/>
        </w:rPr>
        <w:t>》为准。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jc w:val="left"/>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　　2、生产总值、各产业增加值绝对数按当年价格计算,其增长率均按可比价格计算。根据第四次全国经济普查结果，对国内生产总值、三次产业及相关行业增加值等相关指标的历史数据进行了修订。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2" w:lineRule="atLeast"/>
        <w:ind w:left="0" w:right="0" w:firstLine="0"/>
        <w:jc w:val="left"/>
        <w:rPr>
          <w:rFonts w:hint="eastAsia" w:ascii="微软雅黑" w:hAnsi="微软雅黑" w:eastAsia="微软雅黑" w:cs="微软雅黑"/>
          <w:i w:val="0"/>
          <w:iCs w:val="0"/>
          <w:caps w:val="0"/>
          <w:color w:val="333333"/>
          <w:spacing w:val="0"/>
          <w:sz w:val="19"/>
          <w:szCs w:val="19"/>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　　3、公报涉及的部分经济指标来源于相关部门。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5"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    4</w:t>
      </w:r>
      <w:r>
        <w:rPr>
          <w:rFonts w:hint="eastAsia" w:ascii="仿宋_GB2312" w:hAnsi="微软雅黑" w:eastAsia="仿宋_GB2312" w:cs="仿宋_GB2312"/>
          <w:i w:val="0"/>
          <w:iCs w:val="0"/>
          <w:caps w:val="0"/>
          <w:color w:val="333333"/>
          <w:spacing w:val="0"/>
          <w:sz w:val="32"/>
          <w:szCs w:val="32"/>
          <w:bdr w:val="none" w:color="auto" w:sz="0" w:space="0"/>
          <w:shd w:val="clear" w:fill="FFFFFF"/>
        </w:rPr>
        <w:t>、</w:t>
      </w:r>
      <w:r>
        <w:rPr>
          <w:rFonts w:hint="eastAsia" w:ascii="仿宋_GB2312" w:hAnsi="Times New Roman" w:eastAsia="仿宋_GB2312" w:cs="仿宋_GB2312"/>
          <w:i w:val="0"/>
          <w:iCs w:val="0"/>
          <w:caps w:val="0"/>
          <w:color w:val="333333"/>
          <w:spacing w:val="0"/>
          <w:sz w:val="32"/>
          <w:szCs w:val="32"/>
          <w:bdr w:val="none" w:color="auto" w:sz="0" w:space="0"/>
          <w:shd w:val="clear" w:fill="FFFFFF"/>
        </w:rPr>
        <w:t>2017-2021</w:t>
      </w:r>
      <w:r>
        <w:rPr>
          <w:rFonts w:hint="eastAsia" w:ascii="仿宋_GB2312" w:hAnsi="微软雅黑" w:eastAsia="仿宋_GB2312" w:cs="仿宋_GB2312"/>
          <w:i w:val="0"/>
          <w:iCs w:val="0"/>
          <w:caps w:val="0"/>
          <w:color w:val="333333"/>
          <w:spacing w:val="0"/>
          <w:sz w:val="32"/>
          <w:szCs w:val="32"/>
          <w:bdr w:val="none" w:color="auto" w:sz="0" w:space="0"/>
          <w:shd w:val="clear" w:fill="FFFFFF"/>
        </w:rPr>
        <w:t>年城镇居民人均可支配收入及农村居民可支配收入为新口径数据。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NWMwOWQ5NjgxMjhhNWM2ODhjYmMzZDljYWY2ZTgifQ=="/>
  </w:docVars>
  <w:rsids>
    <w:rsidRoot w:val="6CB84B02"/>
    <w:rsid w:val="6CB8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2023-11-02T09:45:00Z</dcterms:created>
  <dc:creator>乌龙茶de-su</dc:creator>
  <cp:lastModifiedBy>乌龙茶de-su</cp:lastModifiedBy>
  <dcterms:modified xsi:type="dcterms:W3CDTF">2023-11-02T09:45:45Z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32D91FA05CF540A6820C3CA7269F6308_11</vt:lpwstr>
  </property>
</Properties>
</file>