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ascii="Times New Roman" w:hAnsi="Times New Roman" w:eastAsia="楷体_GB2312" w:cs="Times New Roman"/>
          <w:sz w:val="44"/>
          <w:szCs w:val="44"/>
        </w:rPr>
      </w:pPr>
    </w:p>
    <w:p>
      <w:pPr>
        <w:spacing w:line="600" w:lineRule="exact"/>
        <w:jc w:val="center"/>
        <w:rPr>
          <w:rFonts w:ascii="宋体" w:hAnsi="宋体" w:eastAsia="宋体" w:cs="宋体"/>
          <w:b/>
          <w:spacing w:val="20"/>
          <w:sz w:val="36"/>
          <w:szCs w:val="36"/>
        </w:rPr>
      </w:pPr>
      <w:bookmarkStart w:id="0" w:name="_GoBack"/>
      <w:r>
        <w:rPr>
          <w:rFonts w:hint="eastAsia" w:ascii="宋体" w:hAnsi="宋体" w:eastAsia="宋体" w:cs="宋体"/>
          <w:sz w:val="44"/>
          <w:szCs w:val="44"/>
        </w:rPr>
        <w:t>2021年鹿寨县各产业招商组</w:t>
      </w:r>
      <w:r>
        <w:rPr>
          <w:rFonts w:hint="eastAsia" w:ascii="宋体" w:hAnsi="宋体" w:eastAsia="宋体" w:cs="宋体"/>
          <w:spacing w:val="20"/>
          <w:sz w:val="44"/>
          <w:szCs w:val="44"/>
        </w:rPr>
        <w:t>招商引资目标任务分解表</w:t>
      </w:r>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04"/>
        <w:gridCol w:w="3636"/>
        <w:gridCol w:w="2147"/>
        <w:gridCol w:w="1688"/>
        <w:gridCol w:w="101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56"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产业招商组</w:t>
            </w:r>
          </w:p>
        </w:tc>
        <w:tc>
          <w:tcPr>
            <w:tcW w:w="2004" w:type="dxa"/>
            <w:vMerge w:val="restart"/>
            <w:tcBorders>
              <w:top w:val="single" w:color="auto" w:sz="4" w:space="0"/>
              <w:left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牵头单位</w:t>
            </w:r>
          </w:p>
        </w:tc>
        <w:tc>
          <w:tcPr>
            <w:tcW w:w="3636" w:type="dxa"/>
            <w:vMerge w:val="restart"/>
            <w:tcBorders>
              <w:top w:val="single" w:color="auto" w:sz="4" w:space="0"/>
              <w:left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协办单位</w:t>
            </w: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内资到位资金目标（亿元）</w:t>
            </w:r>
          </w:p>
        </w:tc>
        <w:tc>
          <w:tcPr>
            <w:tcW w:w="1688" w:type="dxa"/>
            <w:vMerge w:val="restart"/>
            <w:tcBorders>
              <w:top w:val="single" w:color="auto" w:sz="4" w:space="0"/>
              <w:left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新签约项目数（个）</w:t>
            </w:r>
          </w:p>
        </w:tc>
        <w:tc>
          <w:tcPr>
            <w:tcW w:w="1012" w:type="dxa"/>
            <w:vMerge w:val="restart"/>
            <w:tcBorders>
              <w:top w:val="single" w:color="auto" w:sz="4" w:space="0"/>
              <w:left w:val="single" w:color="auto" w:sz="4" w:space="0"/>
              <w:right w:val="single" w:color="auto" w:sz="4" w:space="0"/>
            </w:tcBorders>
            <w:noWrap/>
            <w:vAlign w:val="center"/>
          </w:tcPr>
          <w:p>
            <w:pPr>
              <w:spacing w:line="360" w:lineRule="exact"/>
              <w:jc w:val="center"/>
              <w:rPr>
                <w:rFonts w:ascii="黑体" w:hAnsi="黑体" w:eastAsia="黑体" w:cs="黑体"/>
                <w:sz w:val="24"/>
              </w:rPr>
            </w:pPr>
            <w:r>
              <w:rPr>
                <w:rFonts w:hint="eastAsia" w:ascii="黑体" w:hAnsi="黑体" w:eastAsia="黑体" w:cs="黑体"/>
                <w:sz w:val="24"/>
              </w:rPr>
              <w:t>新引进工业项目（个）</w:t>
            </w:r>
          </w:p>
        </w:tc>
        <w:tc>
          <w:tcPr>
            <w:tcW w:w="1012" w:type="dxa"/>
            <w:vMerge w:val="restart"/>
            <w:tcBorders>
              <w:top w:val="single" w:color="auto" w:sz="4" w:space="0"/>
              <w:left w:val="single" w:color="auto" w:sz="4" w:space="0"/>
              <w:right w:val="single" w:color="auto" w:sz="4" w:space="0"/>
            </w:tcBorders>
          </w:tcPr>
          <w:p>
            <w:pPr>
              <w:spacing w:beforeLines="100" w:line="360" w:lineRule="exact"/>
              <w:jc w:val="center"/>
              <w:rPr>
                <w:rFonts w:ascii="黑体" w:hAnsi="黑体" w:eastAsia="黑体" w:cs="黑体"/>
                <w:sz w:val="24"/>
              </w:rPr>
            </w:pPr>
            <w:r>
              <w:rPr>
                <w:rFonts w:hint="eastAsia" w:ascii="黑体" w:hAnsi="黑体" w:eastAsia="黑体" w:cs="黑体"/>
                <w:sz w:val="24"/>
              </w:rPr>
              <w:t>亿元工业项目（个）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5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Times New Roman" w:hAnsi="Times New Roman" w:eastAsia="仿宋" w:cs="Times New Roman"/>
                <w:sz w:val="24"/>
              </w:rPr>
            </w:pPr>
          </w:p>
        </w:tc>
        <w:tc>
          <w:tcPr>
            <w:tcW w:w="2004"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ascii="Times New Roman" w:hAnsi="Times New Roman" w:eastAsia="仿宋" w:cs="Times New Roman"/>
                <w:sz w:val="24"/>
              </w:rPr>
            </w:pPr>
          </w:p>
        </w:tc>
        <w:tc>
          <w:tcPr>
            <w:tcW w:w="3636"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ascii="Times New Roman" w:hAnsi="Times New Roman" w:eastAsia="仿宋" w:cs="Times New Roman"/>
                <w:sz w:val="24"/>
              </w:rPr>
            </w:pP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b/>
                <w:bCs/>
                <w:sz w:val="24"/>
              </w:rPr>
            </w:pPr>
            <w:r>
              <w:rPr>
                <w:rFonts w:hint="eastAsia" w:ascii="黑体" w:hAnsi="黑体" w:eastAsia="黑体" w:cs="黑体"/>
                <w:sz w:val="24"/>
              </w:rPr>
              <w:t>区外境内</w:t>
            </w:r>
          </w:p>
        </w:tc>
        <w:tc>
          <w:tcPr>
            <w:tcW w:w="1688" w:type="dxa"/>
            <w:vMerge w:val="continue"/>
            <w:tcBorders>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 w:cs="Times New Roman"/>
                <w:sz w:val="24"/>
              </w:rPr>
            </w:pPr>
          </w:p>
        </w:tc>
        <w:tc>
          <w:tcPr>
            <w:tcW w:w="1012" w:type="dxa"/>
            <w:vMerge w:val="continue"/>
            <w:tcBorders>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 w:cs="Times New Roman"/>
                <w:sz w:val="24"/>
              </w:rPr>
            </w:pPr>
          </w:p>
        </w:tc>
        <w:tc>
          <w:tcPr>
            <w:tcW w:w="1012" w:type="dxa"/>
            <w:vMerge w:val="continue"/>
            <w:tcBorders>
              <w:left w:val="single" w:color="auto" w:sz="4" w:space="0"/>
              <w:bottom w:val="single" w:color="auto" w:sz="4" w:space="0"/>
              <w:right w:val="single" w:color="auto" w:sz="4" w:space="0"/>
            </w:tcBorders>
          </w:tcPr>
          <w:p>
            <w:pPr>
              <w:spacing w:line="36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96"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sz w:val="32"/>
                <w:szCs w:val="32"/>
              </w:rPr>
            </w:pPr>
            <w:r>
              <w:rPr>
                <w:rFonts w:ascii="Times New Roman" w:hAnsi="Times New Roman" w:cs="Times New Roman"/>
                <w:sz w:val="24"/>
              </w:rPr>
              <w:t>合  计</w:t>
            </w: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sz w:val="24"/>
              </w:rPr>
            </w:pPr>
            <w:r>
              <w:rPr>
                <w:rFonts w:ascii="Times New Roman" w:hAnsi="Times New Roman" w:cs="Times New Roman"/>
                <w:sz w:val="24"/>
              </w:rPr>
              <w:t>45</w:t>
            </w:r>
          </w:p>
        </w:tc>
        <w:tc>
          <w:tcPr>
            <w:tcW w:w="16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sz w:val="24"/>
              </w:rPr>
            </w:pPr>
            <w:r>
              <w:rPr>
                <w:rFonts w:ascii="Times New Roman" w:hAnsi="Times New Roman" w:cs="Times New Roman"/>
                <w:sz w:val="24"/>
              </w:rPr>
              <w:t>30</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cs="Times New Roman"/>
                <w:sz w:val="24"/>
              </w:rPr>
            </w:pPr>
            <w:r>
              <w:rPr>
                <w:rFonts w:ascii="Times New Roman" w:hAnsi="Times New Roman" w:cs="Times New Roman"/>
                <w:sz w:val="24"/>
              </w:rPr>
              <w:t>20</w:t>
            </w:r>
          </w:p>
        </w:tc>
        <w:tc>
          <w:tcPr>
            <w:tcW w:w="1012"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s="Times New Roman"/>
                <w:sz w:val="24"/>
              </w:rPr>
            </w:pPr>
            <w:r>
              <w:rPr>
                <w:rFonts w:ascii="Times New Roman" w:hAnsi="Times New Roman" w:cs="Times New Roman"/>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55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林木加工产业招商组</w:t>
            </w:r>
          </w:p>
        </w:tc>
        <w:tc>
          <w:tcPr>
            <w:tcW w:w="2004"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自然资源</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和规划局</w:t>
            </w:r>
          </w:p>
        </w:tc>
        <w:tc>
          <w:tcPr>
            <w:tcW w:w="363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w:t>
            </w:r>
            <w:r>
              <w:rPr>
                <w:rFonts w:hint="eastAsia" w:ascii="Times New Roman" w:hAnsi="Times New Roman" w:eastAsia="仿宋_GB2312" w:cs="Times New Roman"/>
                <w:sz w:val="24"/>
              </w:rPr>
              <w:t>县</w:t>
            </w:r>
            <w:r>
              <w:rPr>
                <w:rFonts w:ascii="Times New Roman" w:hAnsi="Times New Roman" w:eastAsia="仿宋_GB2312" w:cs="Times New Roman"/>
                <w:sz w:val="24"/>
              </w:rPr>
              <w:t>应急管理局、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财政局、鹿寨经开区管委、鹿寨生态环境局、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w:t>
            </w:r>
            <w:r>
              <w:rPr>
                <w:rFonts w:hint="eastAsia" w:ascii="Times New Roman" w:hAnsi="Times New Roman" w:eastAsia="仿宋_GB2312" w:cs="Times New Roman"/>
                <w:sz w:val="24"/>
              </w:rPr>
              <w:t>、</w:t>
            </w:r>
            <w:r>
              <w:rPr>
                <w:rFonts w:ascii="Times New Roman" w:hAnsi="Times New Roman" w:eastAsia="仿宋_GB2312" w:cs="Times New Roman"/>
                <w:sz w:val="24"/>
              </w:rPr>
              <w:t>驰普公司</w:t>
            </w:r>
          </w:p>
        </w:tc>
        <w:tc>
          <w:tcPr>
            <w:tcW w:w="2147"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16</w:t>
            </w:r>
          </w:p>
        </w:tc>
        <w:tc>
          <w:tcPr>
            <w:tcW w:w="1688"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5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战略性新兴产业招商组</w:t>
            </w:r>
          </w:p>
        </w:tc>
        <w:tc>
          <w:tcPr>
            <w:tcW w:w="2004"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鹿寨经开区管委</w:t>
            </w:r>
          </w:p>
        </w:tc>
        <w:tc>
          <w:tcPr>
            <w:tcW w:w="363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w:t>
            </w:r>
            <w:r>
              <w:rPr>
                <w:rFonts w:hint="eastAsia" w:ascii="Times New Roman" w:hAnsi="Times New Roman" w:eastAsia="仿宋_GB2312" w:cs="Times New Roman"/>
                <w:sz w:val="24"/>
              </w:rPr>
              <w:t>县</w:t>
            </w:r>
            <w:r>
              <w:rPr>
                <w:rFonts w:ascii="Times New Roman" w:hAnsi="Times New Roman" w:eastAsia="仿宋_GB2312" w:cs="Times New Roman"/>
                <w:sz w:val="24"/>
              </w:rPr>
              <w:t>科工贸局、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w:t>
            </w:r>
            <w:r>
              <w:rPr>
                <w:rFonts w:hint="eastAsia" w:ascii="Times New Roman" w:hAnsi="Times New Roman" w:eastAsia="仿宋_GB2312" w:cs="Times New Roman"/>
                <w:sz w:val="24"/>
              </w:rPr>
              <w:t>县</w:t>
            </w:r>
            <w:r>
              <w:rPr>
                <w:rFonts w:ascii="Times New Roman" w:hAnsi="Times New Roman" w:eastAsia="仿宋_GB2312" w:cs="Times New Roman"/>
                <w:sz w:val="24"/>
              </w:rPr>
              <w:t>应急管理局、鹿寨生态环境局、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税务局、柳州紫荆技术转移中心</w:t>
            </w:r>
          </w:p>
        </w:tc>
        <w:tc>
          <w:tcPr>
            <w:tcW w:w="2147"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1688"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55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电镀产业招商组</w:t>
            </w:r>
          </w:p>
        </w:tc>
        <w:tc>
          <w:tcPr>
            <w:tcW w:w="2004"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江口乡</w:t>
            </w:r>
          </w:p>
        </w:tc>
        <w:tc>
          <w:tcPr>
            <w:tcW w:w="363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投促中心、鹿寨经开区管委、</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科工贸局、鹿寨生态环境局、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应急管理局、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财政局、荣凯华源公司</w:t>
            </w:r>
          </w:p>
        </w:tc>
        <w:tc>
          <w:tcPr>
            <w:tcW w:w="2147"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688"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55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汽车产业招商组</w:t>
            </w:r>
          </w:p>
        </w:tc>
        <w:tc>
          <w:tcPr>
            <w:tcW w:w="2004"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鹿寨经开区管委</w:t>
            </w:r>
          </w:p>
        </w:tc>
        <w:tc>
          <w:tcPr>
            <w:tcW w:w="363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w:t>
            </w:r>
            <w:r>
              <w:rPr>
                <w:rFonts w:hint="eastAsia" w:ascii="Times New Roman" w:hAnsi="Times New Roman" w:eastAsia="仿宋_GB2312" w:cs="Times New Roman"/>
                <w:sz w:val="24"/>
              </w:rPr>
              <w:t>县</w:t>
            </w:r>
            <w:r>
              <w:rPr>
                <w:rFonts w:ascii="Times New Roman" w:hAnsi="Times New Roman" w:eastAsia="仿宋_GB2312" w:cs="Times New Roman"/>
                <w:sz w:val="24"/>
              </w:rPr>
              <w:t>科工贸局、鹿寨生态环境局、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应急管理局、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w:t>
            </w:r>
            <w:r>
              <w:rPr>
                <w:rFonts w:hint="eastAsia" w:ascii="Times New Roman" w:hAnsi="Times New Roman" w:eastAsia="仿宋_GB2312" w:cs="Times New Roman"/>
                <w:sz w:val="24"/>
              </w:rPr>
              <w:t>县</w:t>
            </w:r>
            <w:r>
              <w:rPr>
                <w:rFonts w:ascii="Times New Roman" w:hAnsi="Times New Roman" w:eastAsia="仿宋_GB2312" w:cs="Times New Roman"/>
                <w:sz w:val="24"/>
              </w:rPr>
              <w:t>土地和房屋</w:t>
            </w:r>
            <w:r>
              <w:rPr>
                <w:rFonts w:hint="eastAsia" w:ascii="Times New Roman" w:hAnsi="Times New Roman" w:eastAsia="仿宋_GB2312" w:cs="Times New Roman"/>
                <w:sz w:val="24"/>
              </w:rPr>
              <w:t>征收</w:t>
            </w:r>
            <w:r>
              <w:rPr>
                <w:rFonts w:ascii="Times New Roman" w:hAnsi="Times New Roman" w:eastAsia="仿宋_GB2312" w:cs="Times New Roman"/>
                <w:sz w:val="24"/>
              </w:rPr>
              <w:t>中心</w:t>
            </w:r>
          </w:p>
        </w:tc>
        <w:tc>
          <w:tcPr>
            <w:tcW w:w="2147"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688"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5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商贸物流产业招商组</w:t>
            </w:r>
          </w:p>
        </w:tc>
        <w:tc>
          <w:tcPr>
            <w:tcW w:w="200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w:t>
            </w:r>
            <w:r>
              <w:rPr>
                <w:rFonts w:ascii="Times New Roman" w:hAnsi="Times New Roman" w:eastAsia="仿宋_GB2312" w:cs="Times New Roman"/>
                <w:sz w:val="24"/>
              </w:rPr>
              <w:t>科工贸局</w:t>
            </w:r>
          </w:p>
        </w:tc>
        <w:tc>
          <w:tcPr>
            <w:tcW w:w="363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w:t>
            </w:r>
            <w:r>
              <w:rPr>
                <w:rFonts w:hint="eastAsia" w:ascii="Times New Roman" w:hAnsi="Times New Roman" w:eastAsia="仿宋_GB2312" w:cs="Times New Roman"/>
                <w:sz w:val="24"/>
              </w:rPr>
              <w:t>县</w:t>
            </w:r>
            <w:r>
              <w:rPr>
                <w:rFonts w:ascii="Times New Roman" w:hAnsi="Times New Roman" w:eastAsia="仿宋_GB2312" w:cs="Times New Roman"/>
                <w:sz w:val="24"/>
              </w:rPr>
              <w:t>交通局、鹿寨经开区管委、</w:t>
            </w:r>
            <w:r>
              <w:rPr>
                <w:rFonts w:hint="eastAsia" w:ascii="Times New Roman" w:hAnsi="Times New Roman" w:eastAsia="仿宋_GB2312" w:cs="Times New Roman"/>
                <w:sz w:val="24"/>
              </w:rPr>
              <w:t>县</w:t>
            </w:r>
            <w:r>
              <w:rPr>
                <w:rFonts w:ascii="Times New Roman" w:hAnsi="Times New Roman" w:eastAsia="仿宋_GB2312" w:cs="Times New Roman"/>
                <w:sz w:val="24"/>
              </w:rPr>
              <w:t>财政局、鹿寨生态环境局、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税务局、江口乡</w:t>
            </w: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6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55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农业产业招商组</w:t>
            </w:r>
          </w:p>
        </w:tc>
        <w:tc>
          <w:tcPr>
            <w:tcW w:w="2004"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w:t>
            </w:r>
            <w:r>
              <w:rPr>
                <w:rFonts w:ascii="Times New Roman" w:hAnsi="Times New Roman" w:eastAsia="仿宋_GB2312" w:cs="Times New Roman"/>
                <w:sz w:val="24"/>
              </w:rPr>
              <w:t>农业农村局</w:t>
            </w:r>
          </w:p>
        </w:tc>
        <w:tc>
          <w:tcPr>
            <w:tcW w:w="3636"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水利局、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w:t>
            </w:r>
          </w:p>
        </w:tc>
        <w:tc>
          <w:tcPr>
            <w:tcW w:w="2147"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688" w:type="dxa"/>
            <w:tcBorders>
              <w:top w:val="single" w:color="auto" w:sz="4" w:space="0"/>
              <w:left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5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基础设施及房地产产业招商组</w:t>
            </w:r>
          </w:p>
        </w:tc>
        <w:tc>
          <w:tcPr>
            <w:tcW w:w="200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w:t>
            </w:r>
            <w:r>
              <w:rPr>
                <w:rFonts w:ascii="Times New Roman" w:hAnsi="Times New Roman" w:eastAsia="仿宋_GB2312" w:cs="Times New Roman"/>
                <w:sz w:val="24"/>
              </w:rPr>
              <w:t>住建局</w:t>
            </w:r>
          </w:p>
        </w:tc>
        <w:tc>
          <w:tcPr>
            <w:tcW w:w="363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交通局、</w:t>
            </w:r>
            <w:r>
              <w:rPr>
                <w:rFonts w:hint="eastAsia" w:ascii="Times New Roman" w:hAnsi="Times New Roman" w:eastAsia="仿宋_GB2312" w:cs="Times New Roman"/>
                <w:sz w:val="24"/>
              </w:rPr>
              <w:t>县</w:t>
            </w:r>
            <w:r>
              <w:rPr>
                <w:rFonts w:ascii="Times New Roman" w:hAnsi="Times New Roman" w:eastAsia="仿宋_GB2312" w:cs="Times New Roman"/>
                <w:sz w:val="24"/>
              </w:rPr>
              <w:t>水利局、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w:t>
            </w: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16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5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文旅产业与教育卫生招商组</w:t>
            </w:r>
          </w:p>
        </w:tc>
        <w:tc>
          <w:tcPr>
            <w:tcW w:w="2004"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县</w:t>
            </w:r>
            <w:r>
              <w:rPr>
                <w:rFonts w:ascii="Times New Roman" w:hAnsi="Times New Roman" w:eastAsia="仿宋_GB2312" w:cs="Times New Roman"/>
                <w:sz w:val="24"/>
              </w:rPr>
              <w:t>文体广旅局</w:t>
            </w:r>
          </w:p>
        </w:tc>
        <w:tc>
          <w:tcPr>
            <w:tcW w:w="363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县</w:t>
            </w:r>
            <w:r>
              <w:rPr>
                <w:rFonts w:ascii="Times New Roman" w:hAnsi="Times New Roman" w:eastAsia="仿宋_GB2312" w:cs="Times New Roman"/>
                <w:sz w:val="24"/>
              </w:rPr>
              <w:t>投促中心、</w:t>
            </w:r>
            <w:r>
              <w:rPr>
                <w:rFonts w:hint="eastAsia" w:ascii="Times New Roman" w:hAnsi="Times New Roman" w:eastAsia="仿宋_GB2312" w:cs="Times New Roman"/>
                <w:sz w:val="24"/>
              </w:rPr>
              <w:t>县</w:t>
            </w:r>
            <w:r>
              <w:rPr>
                <w:rFonts w:ascii="Times New Roman" w:hAnsi="Times New Roman" w:eastAsia="仿宋_GB2312" w:cs="Times New Roman"/>
                <w:sz w:val="24"/>
              </w:rPr>
              <w:t>发改局、</w:t>
            </w:r>
            <w:r>
              <w:rPr>
                <w:rFonts w:hint="eastAsia" w:ascii="Times New Roman" w:hAnsi="Times New Roman" w:eastAsia="仿宋_GB2312" w:cs="Times New Roman"/>
                <w:sz w:val="24"/>
              </w:rPr>
              <w:t>县</w:t>
            </w:r>
            <w:r>
              <w:rPr>
                <w:rFonts w:ascii="Times New Roman" w:hAnsi="Times New Roman" w:eastAsia="仿宋_GB2312" w:cs="Times New Roman"/>
                <w:sz w:val="24"/>
              </w:rPr>
              <w:t>住建局、</w:t>
            </w:r>
            <w:r>
              <w:rPr>
                <w:rFonts w:hint="eastAsia" w:ascii="Times New Roman" w:hAnsi="Times New Roman" w:eastAsia="仿宋_GB2312" w:cs="Times New Roman"/>
                <w:sz w:val="24"/>
              </w:rPr>
              <w:t>县</w:t>
            </w:r>
            <w:r>
              <w:rPr>
                <w:rFonts w:ascii="Times New Roman" w:hAnsi="Times New Roman" w:eastAsia="仿宋_GB2312" w:cs="Times New Roman"/>
                <w:sz w:val="24"/>
              </w:rPr>
              <w:t>教育局、</w:t>
            </w:r>
            <w:r>
              <w:rPr>
                <w:rFonts w:hint="eastAsia" w:ascii="Times New Roman" w:hAnsi="Times New Roman" w:eastAsia="仿宋_GB2312" w:cs="Times New Roman"/>
                <w:sz w:val="24"/>
              </w:rPr>
              <w:t>县</w:t>
            </w:r>
            <w:r>
              <w:rPr>
                <w:rFonts w:ascii="Times New Roman" w:hAnsi="Times New Roman" w:eastAsia="仿宋_GB2312" w:cs="Times New Roman"/>
                <w:sz w:val="24"/>
              </w:rPr>
              <w:t>卫健局、</w:t>
            </w:r>
            <w:r>
              <w:rPr>
                <w:rFonts w:hint="eastAsia" w:ascii="Times New Roman" w:hAnsi="Times New Roman" w:eastAsia="仿宋_GB2312" w:cs="Times New Roman"/>
                <w:sz w:val="24"/>
              </w:rPr>
              <w:t>县</w:t>
            </w:r>
            <w:r>
              <w:rPr>
                <w:rFonts w:ascii="Times New Roman" w:hAnsi="Times New Roman" w:eastAsia="仿宋_GB2312" w:cs="Times New Roman"/>
                <w:sz w:val="24"/>
              </w:rPr>
              <w:t>自然资源和规划局、</w:t>
            </w:r>
            <w:r>
              <w:rPr>
                <w:rFonts w:hint="eastAsia" w:ascii="Times New Roman" w:hAnsi="Times New Roman" w:eastAsia="仿宋_GB2312" w:cs="Times New Roman"/>
                <w:sz w:val="24"/>
              </w:rPr>
              <w:t>县</w:t>
            </w:r>
            <w:r>
              <w:rPr>
                <w:rFonts w:ascii="Times New Roman" w:hAnsi="Times New Roman" w:eastAsia="仿宋_GB2312" w:cs="Times New Roman"/>
                <w:sz w:val="24"/>
              </w:rPr>
              <w:t>财政局、鹿寨生态环境局、</w:t>
            </w:r>
            <w:r>
              <w:rPr>
                <w:rFonts w:hint="eastAsia" w:ascii="Times New Roman" w:hAnsi="Times New Roman" w:eastAsia="仿宋_GB2312" w:cs="Times New Roman"/>
                <w:sz w:val="24"/>
              </w:rPr>
              <w:t>县</w:t>
            </w:r>
            <w:r>
              <w:rPr>
                <w:rFonts w:ascii="Times New Roman" w:hAnsi="Times New Roman" w:eastAsia="仿宋_GB2312" w:cs="Times New Roman"/>
                <w:sz w:val="24"/>
              </w:rPr>
              <w:t>税务局、祥鹿公司</w:t>
            </w:r>
          </w:p>
        </w:tc>
        <w:tc>
          <w:tcPr>
            <w:tcW w:w="2147"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1688"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bl>
    <w:p>
      <w:pPr>
        <w:spacing w:line="360" w:lineRule="exact"/>
        <w:ind w:left="585" w:leftChars="50" w:right="-722" w:rightChars="-344" w:hanging="480" w:hangingChars="200"/>
        <w:jc w:val="left"/>
        <w:rPr>
          <w:rFonts w:ascii="Times New Roman" w:hAnsi="Times New Roman" w:eastAsia="仿宋" w:cs="Times New Roman"/>
          <w:sz w:val="24"/>
        </w:rPr>
      </w:pPr>
      <w:r>
        <w:rPr>
          <w:rFonts w:ascii="Times New Roman" w:hAnsi="Times New Roman" w:eastAsia="仿宋" w:cs="Times New Roman"/>
          <w:sz w:val="24"/>
        </w:rPr>
        <w:t>注：1.表格内各牵头单位的招商引资数据由县投促中心根据行业范围对各牵头单位按项目属地原则统一上报的数据进行统计整理。</w:t>
      </w:r>
    </w:p>
    <w:p>
      <w:pPr>
        <w:spacing w:line="360" w:lineRule="exact"/>
        <w:ind w:left="583" w:leftChars="278" w:right="-722" w:rightChars="-344"/>
        <w:jc w:val="left"/>
        <w:rPr>
          <w:rFonts w:ascii="Times New Roman" w:hAnsi="Times New Roman" w:eastAsia="仿宋" w:cs="Times New Roman"/>
          <w:sz w:val="24"/>
        </w:rPr>
      </w:pPr>
      <w:r>
        <w:rPr>
          <w:rFonts w:ascii="Times New Roman" w:hAnsi="Times New Roman" w:eastAsia="仿宋" w:cs="Times New Roman"/>
          <w:sz w:val="24"/>
        </w:rPr>
        <w:t>2.表格内各牵头单位直接引进的项目，应知会县投促中心，以便于县投促中心及时统计。</w:t>
      </w:r>
    </w:p>
    <w:p>
      <w:pPr>
        <w:spacing w:line="360" w:lineRule="exact"/>
        <w:ind w:left="583" w:leftChars="278" w:right="-722" w:rightChars="-344"/>
        <w:jc w:val="left"/>
      </w:pPr>
      <w:r>
        <w:rPr>
          <w:rFonts w:ascii="Times New Roman" w:hAnsi="Times New Roman" w:eastAsia="仿宋" w:cs="Times New Roman"/>
          <w:sz w:val="24"/>
        </w:rPr>
        <w:t>3.各牵头单位目标完成情况以录入“广西投资促进信息管理系统”数据为准，“广西投资促进信息管理系统”由县投促中心统一录入。</w:t>
      </w:r>
    </w:p>
    <w:sectPr>
      <w:pgSz w:w="16838" w:h="11906" w:orient="landscape"/>
      <w:pgMar w:top="1418" w:right="1304" w:bottom="1304" w:left="1304" w:header="851" w:footer="851"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A4859"/>
    <w:rsid w:val="6C9A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2021-08-04T01:30:00Z</dcterms:created>
  <dc:creator>乌龙茶de-su</dc:creator>
  <cp:lastModifiedBy>乌龙茶de-su</cp:lastModifiedBy>
  <dcterms:modified xsi:type="dcterms:W3CDTF">2021-08-04T01:31:42Z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FC6C287438424F25ADC5D0226ECD344F</vt:lpwstr>
  </property>
</Properties>
</file>